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F8CFB" w14:textId="77777777" w:rsidR="006030E8" w:rsidRPr="006030E8" w:rsidRDefault="006030E8" w:rsidP="006030E8">
      <w:pPr>
        <w:rPr>
          <w:b/>
          <w:sz w:val="24"/>
        </w:rPr>
      </w:pPr>
      <w:r w:rsidRPr="006030E8">
        <w:rPr>
          <w:b/>
          <w:sz w:val="24"/>
        </w:rPr>
        <w:t>Meningococcal Meningitis Disease and Vaccination Options</w:t>
      </w:r>
      <w:bookmarkStart w:id="0" w:name="_GoBack"/>
      <w:bookmarkEnd w:id="0"/>
    </w:p>
    <w:p w14:paraId="1C4057AC" w14:textId="55C90541" w:rsidR="006030E8" w:rsidRPr="006030E8" w:rsidRDefault="006030E8" w:rsidP="006030E8">
      <w:r w:rsidRPr="006030E8">
        <w:t xml:space="preserve">The </w:t>
      </w:r>
      <w:r w:rsidRPr="006030E8">
        <w:rPr>
          <w:b/>
        </w:rPr>
        <w:t>Immunization Task Force</w:t>
      </w:r>
      <w:r w:rsidRPr="006030E8">
        <w:t xml:space="preserve"> – Metro Omaha (ITF) is a non-profit coalition dedicated to educating the public &amp; healthcare providers about immunizations.  The information in this toolkit seeks to inform and </w:t>
      </w:r>
      <w:r w:rsidR="00F758D0">
        <w:t>suggest</w:t>
      </w:r>
      <w:r w:rsidRPr="006030E8">
        <w:t xml:space="preserve"> action</w:t>
      </w:r>
      <w:r w:rsidR="00F758D0">
        <w:t>s that might be taken by</w:t>
      </w:r>
      <w:r w:rsidRPr="006030E8">
        <w:t xml:space="preserve"> post-secondary educational institutions </w:t>
      </w:r>
      <w:r w:rsidR="00F758D0">
        <w:t xml:space="preserve">who </w:t>
      </w:r>
      <w:r w:rsidRPr="006030E8">
        <w:t>offer on-campus housing to their students</w:t>
      </w:r>
      <w:r w:rsidR="00F758D0">
        <w:t xml:space="preserve"> – to educate their incoming students and be in legal compliance with LB 513</w:t>
      </w:r>
      <w:r w:rsidRPr="006030E8">
        <w:t xml:space="preserve">.  </w:t>
      </w:r>
    </w:p>
    <w:p w14:paraId="6B7016D5" w14:textId="49A29C40" w:rsidR="006030E8" w:rsidRPr="009A69AD" w:rsidRDefault="006030E8" w:rsidP="006030E8">
      <w:pPr>
        <w:rPr>
          <w:b/>
          <w:sz w:val="24"/>
        </w:rPr>
      </w:pPr>
      <w:r w:rsidRPr="009A69AD">
        <w:rPr>
          <w:b/>
          <w:sz w:val="24"/>
        </w:rPr>
        <w:t>Suggested Actions</w:t>
      </w:r>
      <w:r w:rsidR="00F758D0" w:rsidRPr="009A69AD">
        <w:rPr>
          <w:b/>
          <w:sz w:val="24"/>
        </w:rPr>
        <w:t xml:space="preserve">: </w:t>
      </w:r>
    </w:p>
    <w:p w14:paraId="4628CFCE" w14:textId="6170A505" w:rsidR="006030E8" w:rsidRPr="006030E8" w:rsidRDefault="006030E8" w:rsidP="006030E8">
      <w:pPr>
        <w:pStyle w:val="ListParagraph"/>
        <w:numPr>
          <w:ilvl w:val="0"/>
          <w:numId w:val="3"/>
        </w:numPr>
      </w:pPr>
      <w:r w:rsidRPr="006030E8">
        <w:t>Provide information to each newly enrolled student who will reside in on</w:t>
      </w:r>
      <w:r w:rsidR="00F758D0">
        <w:t>-</w:t>
      </w:r>
      <w:r w:rsidRPr="006030E8">
        <w:t xml:space="preserve">campus housing, </w:t>
      </w:r>
      <w:r w:rsidR="00F758D0">
        <w:t>to address</w:t>
      </w:r>
      <w:r w:rsidRPr="006030E8">
        <w:t xml:space="preserve"> the following:</w:t>
      </w:r>
    </w:p>
    <w:p w14:paraId="26B8F75E" w14:textId="053D4D59" w:rsidR="006030E8" w:rsidRPr="006030E8" w:rsidRDefault="006030E8" w:rsidP="006030E8">
      <w:pPr>
        <w:numPr>
          <w:ilvl w:val="0"/>
          <w:numId w:val="4"/>
        </w:numPr>
      </w:pPr>
      <w:r w:rsidRPr="006030E8">
        <w:t xml:space="preserve">Information on the risks associated with meningococcal disease (Men A/C/W/Y </w:t>
      </w:r>
      <w:r w:rsidR="00F758D0">
        <w:t xml:space="preserve">and </w:t>
      </w:r>
      <w:r w:rsidRPr="006030E8">
        <w:t>Men B).</w:t>
      </w:r>
    </w:p>
    <w:p w14:paraId="20F68959" w14:textId="77777777" w:rsidR="006030E8" w:rsidRPr="006030E8" w:rsidRDefault="006030E8" w:rsidP="006030E8">
      <w:pPr>
        <w:numPr>
          <w:ilvl w:val="0"/>
          <w:numId w:val="4"/>
        </w:numPr>
      </w:pPr>
      <w:r w:rsidRPr="006030E8">
        <w:t>Information on the availability and effectiveness of vaccines available to optimize prevention of these diseases, including MCV-4 and Men-B vaccines.</w:t>
      </w:r>
    </w:p>
    <w:p w14:paraId="2CFFD7A7" w14:textId="573BE94A" w:rsidR="006030E8" w:rsidRDefault="00F758D0" w:rsidP="006030E8">
      <w:pPr>
        <w:numPr>
          <w:ilvl w:val="0"/>
          <w:numId w:val="4"/>
        </w:numPr>
      </w:pPr>
      <w:r>
        <w:t>R</w:t>
      </w:r>
      <w:r w:rsidR="006030E8" w:rsidRPr="006030E8">
        <w:t>eco</w:t>
      </w:r>
      <w:r>
        <w:t>mmend</w:t>
      </w:r>
      <w:r w:rsidR="006030E8" w:rsidRPr="006030E8">
        <w:t xml:space="preserve"> that </w:t>
      </w:r>
      <w:r w:rsidRPr="006030E8">
        <w:t xml:space="preserve">before moving into dormitory housing </w:t>
      </w:r>
      <w:r w:rsidR="006030E8" w:rsidRPr="006030E8">
        <w:t xml:space="preserve">each student: </w:t>
      </w:r>
    </w:p>
    <w:p w14:paraId="6E00DD9C" w14:textId="22F9CCBA" w:rsidR="006030E8" w:rsidRDefault="006030E8" w:rsidP="00F758D0">
      <w:pPr>
        <w:pStyle w:val="ListParagraph"/>
        <w:numPr>
          <w:ilvl w:val="0"/>
          <w:numId w:val="8"/>
        </w:numPr>
      </w:pPr>
      <w:r w:rsidRPr="006030E8">
        <w:t>Obtain MCV-4 vaccination per CDC guidelines, if they ha</w:t>
      </w:r>
      <w:r w:rsidR="00F758D0">
        <w:t>ve not yet been vaccinated</w:t>
      </w:r>
    </w:p>
    <w:p w14:paraId="442F7C12" w14:textId="0E1348EA" w:rsidR="006D6BB0" w:rsidRDefault="006030E8" w:rsidP="00F758D0">
      <w:pPr>
        <w:pStyle w:val="ListParagraph"/>
        <w:numPr>
          <w:ilvl w:val="0"/>
          <w:numId w:val="8"/>
        </w:numPr>
      </w:pPr>
      <w:r w:rsidRPr="006030E8">
        <w:t xml:space="preserve">Conduct a timely discussion with their vaccine provider to obtain clinical guidance on the advisability of obtaining Men-B vaccination, and if </w:t>
      </w:r>
      <w:r w:rsidR="00F758D0">
        <w:t>so advised</w:t>
      </w:r>
      <w:r w:rsidRPr="006030E8">
        <w:t xml:space="preserve">, to </w:t>
      </w:r>
      <w:r w:rsidR="00F758D0">
        <w:t>obtain</w:t>
      </w:r>
      <w:r w:rsidRPr="006030E8">
        <w:t xml:space="preserve"> Men-B vaccination </w:t>
      </w:r>
    </w:p>
    <w:p w14:paraId="32428F80" w14:textId="37213CAE" w:rsidR="006030E8" w:rsidRDefault="00F758D0" w:rsidP="00F758D0">
      <w:r w:rsidRPr="00F758D0">
        <w:rPr>
          <w:b/>
        </w:rPr>
        <w:t>NOTE</w:t>
      </w:r>
      <w:r>
        <w:t xml:space="preserve">: </w:t>
      </w:r>
      <w:r w:rsidR="006D6BB0">
        <w:t>O</w:t>
      </w:r>
      <w:r w:rsidR="006D6BB0" w:rsidRPr="006030E8">
        <w:t>ptimally</w:t>
      </w:r>
      <w:r w:rsidR="006D6BB0">
        <w:t xml:space="preserve">, </w:t>
      </w:r>
      <w:r w:rsidR="006D6BB0" w:rsidRPr="00F758D0">
        <w:rPr>
          <w:u w:val="single"/>
        </w:rPr>
        <w:t>a</w:t>
      </w:r>
      <w:r w:rsidR="006030E8" w:rsidRPr="00F758D0">
        <w:rPr>
          <w:u w:val="single"/>
        </w:rPr>
        <w:t xml:space="preserve">ll </w:t>
      </w:r>
      <w:r w:rsidR="006D6BB0" w:rsidRPr="00F758D0">
        <w:rPr>
          <w:u w:val="single"/>
        </w:rPr>
        <w:t xml:space="preserve">recommended </w:t>
      </w:r>
      <w:r w:rsidR="006030E8" w:rsidRPr="00F758D0">
        <w:rPr>
          <w:u w:val="single"/>
        </w:rPr>
        <w:t xml:space="preserve">meningitis vaccinations </w:t>
      </w:r>
      <w:r w:rsidR="006D6BB0" w:rsidRPr="00F758D0">
        <w:rPr>
          <w:u w:val="single"/>
        </w:rPr>
        <w:t>are best</w:t>
      </w:r>
      <w:r w:rsidR="006030E8" w:rsidRPr="00F758D0">
        <w:rPr>
          <w:u w:val="single"/>
        </w:rPr>
        <w:t xml:space="preserve"> completed at least 2 weeks prior to the student’s move-in date</w:t>
      </w:r>
      <w:r w:rsidR="006D6BB0">
        <w:t>, but a delay is not a valid reason to omit immunization.</w:t>
      </w:r>
    </w:p>
    <w:p w14:paraId="1121C14C" w14:textId="77777777" w:rsidR="009A69AD" w:rsidRPr="006030E8" w:rsidRDefault="009A69AD" w:rsidP="00F758D0"/>
    <w:p w14:paraId="4F81FD92" w14:textId="244E5F4C" w:rsidR="009A69AD" w:rsidRDefault="006030E8" w:rsidP="009A69AD">
      <w:pPr>
        <w:pStyle w:val="ListParagraph"/>
        <w:numPr>
          <w:ilvl w:val="0"/>
          <w:numId w:val="3"/>
        </w:numPr>
        <w:contextualSpacing w:val="0"/>
      </w:pPr>
      <w:r>
        <w:t>Provide i</w:t>
      </w:r>
      <w:r w:rsidR="006D6BB0" w:rsidRPr="006030E8">
        <w:t>nformation on available resources to assist qualified persons with the cost of vaccination.</w:t>
      </w:r>
      <w:r w:rsidR="006D6BB0" w:rsidRPr="006030E8">
        <w:br/>
      </w:r>
      <w:r w:rsidRPr="006030E8">
        <w:t>1)</w:t>
      </w:r>
      <w:r w:rsidR="006D6BB0" w:rsidRPr="006030E8">
        <w:t xml:space="preserve"> </w:t>
      </w:r>
      <w:r w:rsidR="00F758D0">
        <w:t>Co</w:t>
      </w:r>
      <w:r w:rsidR="006D6BB0" w:rsidRPr="006030E8">
        <w:t>ntact their local health department to determine if they are eligible for free vaccination</w:t>
      </w:r>
      <w:r w:rsidR="006D6BB0" w:rsidRPr="006030E8">
        <w:br/>
        <w:t xml:space="preserve">  </w:t>
      </w:r>
      <w:proofErr w:type="gramStart"/>
      <w:r w:rsidR="006D6BB0" w:rsidRPr="006030E8">
        <w:t xml:space="preserve"> </w:t>
      </w:r>
      <w:r w:rsidR="00F758D0">
        <w:t xml:space="preserve">  </w:t>
      </w:r>
      <w:r w:rsidR="006D6BB0" w:rsidRPr="006030E8">
        <w:t>(</w:t>
      </w:r>
      <w:proofErr w:type="gramEnd"/>
      <w:r w:rsidR="006D6BB0" w:rsidRPr="006030E8">
        <w:t>prior to 19 years of age in Nebraska).</w:t>
      </w:r>
      <w:r w:rsidR="006D6BB0" w:rsidRPr="006030E8">
        <w:br/>
      </w:r>
      <w:r w:rsidRPr="006030E8">
        <w:t xml:space="preserve">2) </w:t>
      </w:r>
      <w:r w:rsidR="006D6BB0" w:rsidRPr="006030E8">
        <w:t xml:space="preserve">Contact their health insurance company to determine </w:t>
      </w:r>
      <w:r w:rsidR="009A69AD">
        <w:t xml:space="preserve">plan coverage for </w:t>
      </w:r>
      <w:r w:rsidR="006D6BB0" w:rsidRPr="006030E8">
        <w:t>these vaccinations.</w:t>
      </w:r>
      <w:r w:rsidR="006D6BB0" w:rsidRPr="006030E8">
        <w:br/>
      </w:r>
      <w:r w:rsidRPr="006030E8">
        <w:t>3)</w:t>
      </w:r>
      <w:r w:rsidR="006D6BB0" w:rsidRPr="006030E8">
        <w:t xml:space="preserve"> </w:t>
      </w:r>
      <w:r w:rsidR="009A69AD">
        <w:t>Use</w:t>
      </w:r>
      <w:r w:rsidR="006D6BB0" w:rsidRPr="006030E8">
        <w:t xml:space="preserve"> a Patient Assistance Program (PAP) </w:t>
      </w:r>
      <w:r w:rsidRPr="006030E8">
        <w:t>resource</w:t>
      </w:r>
      <w:r w:rsidR="006D6BB0" w:rsidRPr="006030E8">
        <w:t xml:space="preserve"> to learn </w:t>
      </w:r>
      <w:r w:rsidR="009A69AD">
        <w:t xml:space="preserve">if eligible and how to access </w:t>
      </w:r>
      <w:r w:rsidR="006D6BB0" w:rsidRPr="006030E8">
        <w:t>free v</w:t>
      </w:r>
      <w:r w:rsidR="009A69AD">
        <w:t>accinations</w:t>
      </w:r>
      <w:r w:rsidR="006D6BB0" w:rsidRPr="006030E8">
        <w:t>:</w:t>
      </w:r>
    </w:p>
    <w:p w14:paraId="406CD20D" w14:textId="77777777" w:rsidR="009A69AD" w:rsidRDefault="00154E8E" w:rsidP="009A69AD">
      <w:pPr>
        <w:pStyle w:val="ListParagraph"/>
        <w:numPr>
          <w:ilvl w:val="1"/>
          <w:numId w:val="6"/>
        </w:numPr>
        <w:contextualSpacing w:val="0"/>
      </w:pPr>
      <w:hyperlink r:id="rId7" w:history="1">
        <w:r w:rsidR="00D87639" w:rsidRPr="006030E8">
          <w:rPr>
            <w:rStyle w:val="Hyperlink"/>
          </w:rPr>
          <w:t>www.NeedyMeds.org</w:t>
        </w:r>
      </w:hyperlink>
      <w:r w:rsidR="00D87639" w:rsidRPr="006030E8">
        <w:t xml:space="preserve"> or </w:t>
      </w:r>
      <w:hyperlink r:id="rId8" w:history="1">
        <w:r w:rsidR="006D6BB0" w:rsidRPr="006030E8">
          <w:rPr>
            <w:rStyle w:val="Hyperlink"/>
          </w:rPr>
          <w:t>www.RxOutreach.org</w:t>
        </w:r>
      </w:hyperlink>
      <w:r w:rsidR="006D6BB0" w:rsidRPr="006030E8">
        <w:t xml:space="preserve"> </w:t>
      </w:r>
      <w:r w:rsidR="006030E8" w:rsidRPr="006030E8">
        <w:t xml:space="preserve"> </w:t>
      </w:r>
      <w:r w:rsidR="009A69AD">
        <w:t xml:space="preserve">Resources that </w:t>
      </w:r>
      <w:r w:rsidR="006030E8" w:rsidRPr="006030E8">
        <w:t xml:space="preserve">provide free assistance to learn about eligibility </w:t>
      </w:r>
      <w:r w:rsidR="009A69AD">
        <w:t>for</w:t>
      </w:r>
      <w:r w:rsidR="006030E8" w:rsidRPr="006030E8">
        <w:t xml:space="preserve"> participating manufacturers</w:t>
      </w:r>
      <w:r w:rsidR="009A69AD">
        <w:t>’</w:t>
      </w:r>
      <w:r w:rsidR="006030E8" w:rsidRPr="006030E8">
        <w:t xml:space="preserve"> Patient Assistance Programs.</w:t>
      </w:r>
    </w:p>
    <w:p w14:paraId="1A3E3BA6" w14:textId="15324602" w:rsidR="001E2339" w:rsidRDefault="006D6BB0" w:rsidP="009A69AD">
      <w:pPr>
        <w:pStyle w:val="ListParagraph"/>
        <w:numPr>
          <w:ilvl w:val="1"/>
          <w:numId w:val="6"/>
        </w:numPr>
        <w:contextualSpacing w:val="0"/>
      </w:pPr>
      <w:r w:rsidRPr="006030E8">
        <w:t xml:space="preserve">Contact manufacturers directly: </w:t>
      </w:r>
      <w:r w:rsidRPr="006030E8">
        <w:br/>
      </w:r>
      <w:r w:rsidR="001E2339">
        <w:t>-</w:t>
      </w:r>
      <w:r w:rsidRPr="006030E8">
        <w:t xml:space="preserve"> </w:t>
      </w:r>
      <w:r w:rsidRPr="009A69AD">
        <w:rPr>
          <w:b/>
        </w:rPr>
        <w:t xml:space="preserve">Meningitis </w:t>
      </w:r>
      <w:proofErr w:type="gramStart"/>
      <w:r w:rsidRPr="009A69AD">
        <w:rPr>
          <w:b/>
        </w:rPr>
        <w:t>conjugate</w:t>
      </w:r>
      <w:proofErr w:type="gramEnd"/>
      <w:r w:rsidRPr="009A69AD">
        <w:rPr>
          <w:b/>
        </w:rPr>
        <w:t xml:space="preserve"> </w:t>
      </w:r>
      <w:r w:rsidR="006030E8" w:rsidRPr="009A69AD">
        <w:rPr>
          <w:b/>
        </w:rPr>
        <w:t xml:space="preserve">A/C/W/Y </w:t>
      </w:r>
      <w:r w:rsidRPr="009A69AD">
        <w:rPr>
          <w:b/>
        </w:rPr>
        <w:t>vaccines (MCV-4)</w:t>
      </w:r>
      <w:r w:rsidR="006030E8" w:rsidRPr="006030E8">
        <w:t xml:space="preserve">: </w:t>
      </w:r>
      <w:r w:rsidR="006030E8" w:rsidRPr="006030E8">
        <w:br/>
        <w:t xml:space="preserve">    </w:t>
      </w:r>
      <w:proofErr w:type="spellStart"/>
      <w:r w:rsidR="006030E8" w:rsidRPr="006030E8">
        <w:t>Menveo</w:t>
      </w:r>
      <w:proofErr w:type="spellEnd"/>
      <w:r w:rsidR="006030E8" w:rsidRPr="006030E8">
        <w:t xml:space="preserve">® (Novartis Vaccines) or </w:t>
      </w:r>
      <w:proofErr w:type="spellStart"/>
      <w:r w:rsidR="006030E8" w:rsidRPr="006030E8">
        <w:t>Menactra</w:t>
      </w:r>
      <w:proofErr w:type="spellEnd"/>
      <w:r w:rsidR="006030E8" w:rsidRPr="006030E8">
        <w:t>® (Sanofi Pasteur Inc)</w:t>
      </w:r>
      <w:r w:rsidR="006030E8" w:rsidRPr="006030E8">
        <w:br/>
      </w:r>
      <w:r w:rsidR="001E2339">
        <w:t>-</w:t>
      </w:r>
      <w:r w:rsidR="006030E8" w:rsidRPr="006030E8">
        <w:t xml:space="preserve"> </w:t>
      </w:r>
      <w:r w:rsidR="006030E8" w:rsidRPr="009A69AD">
        <w:rPr>
          <w:b/>
        </w:rPr>
        <w:t>Meningococcal B vaccines (Men-B)</w:t>
      </w:r>
      <w:r w:rsidR="006030E8" w:rsidRPr="006030E8">
        <w:t>:</w:t>
      </w:r>
      <w:r w:rsidR="006030E8" w:rsidRPr="006030E8">
        <w:br/>
        <w:t xml:space="preserve">    </w:t>
      </w:r>
      <w:proofErr w:type="spellStart"/>
      <w:r w:rsidR="006030E8" w:rsidRPr="006030E8">
        <w:t>Trumenba</w:t>
      </w:r>
      <w:proofErr w:type="spellEnd"/>
      <w:r w:rsidR="006030E8" w:rsidRPr="006030E8">
        <w:t xml:space="preserve">® (Wyeth Pharmaceuticals/Pfizer Inc) or </w:t>
      </w:r>
      <w:proofErr w:type="spellStart"/>
      <w:r w:rsidR="006030E8" w:rsidRPr="006030E8">
        <w:t>Bexsero</w:t>
      </w:r>
      <w:proofErr w:type="spellEnd"/>
      <w:r w:rsidR="006030E8" w:rsidRPr="006030E8">
        <w:t xml:space="preserve">® (Novartis Vaccines) </w:t>
      </w:r>
    </w:p>
    <w:p w14:paraId="1E563596" w14:textId="44B47805" w:rsidR="001E2339" w:rsidRDefault="001E2339" w:rsidP="006030E8">
      <w:pPr>
        <w:pStyle w:val="ListParagraph"/>
        <w:ind w:left="360"/>
      </w:pPr>
    </w:p>
    <w:p w14:paraId="5A6D219F" w14:textId="74C7687D" w:rsidR="009A69AD" w:rsidRDefault="009A69AD" w:rsidP="006030E8">
      <w:pPr>
        <w:pStyle w:val="ListParagraph"/>
        <w:ind w:left="360"/>
      </w:pPr>
    </w:p>
    <w:p w14:paraId="00E7941C" w14:textId="759F0DD1" w:rsidR="00032101" w:rsidRPr="009A69AD" w:rsidRDefault="009A69AD" w:rsidP="009A69AD">
      <w:pPr>
        <w:rPr>
          <w:b/>
          <w:i/>
        </w:rPr>
      </w:pPr>
      <w:r w:rsidRPr="009A69AD">
        <w:rPr>
          <w:b/>
        </w:rPr>
        <w:t>NOTE:</w:t>
      </w:r>
      <w:r>
        <w:t xml:space="preserve"> </w:t>
      </w:r>
      <w:r w:rsidR="001E2339" w:rsidRPr="009A69AD">
        <w:rPr>
          <w:b/>
          <w:i/>
        </w:rPr>
        <w:t>All proprietary names are provided as examples only, with no recommendation intended for specific resources or products.</w:t>
      </w:r>
      <w:r w:rsidR="006D6BB0" w:rsidRPr="009A69AD">
        <w:rPr>
          <w:b/>
          <w:i/>
        </w:rPr>
        <w:br/>
      </w:r>
    </w:p>
    <w:sectPr w:rsidR="00032101" w:rsidRPr="009A69A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CD361" w14:textId="77777777" w:rsidR="00D639FF" w:rsidRDefault="00D639FF" w:rsidP="00D639FF">
      <w:pPr>
        <w:spacing w:after="0" w:line="240" w:lineRule="auto"/>
      </w:pPr>
      <w:r>
        <w:separator/>
      </w:r>
    </w:p>
  </w:endnote>
  <w:endnote w:type="continuationSeparator" w:id="0">
    <w:p w14:paraId="2351B192" w14:textId="77777777" w:rsidR="00D639FF" w:rsidRDefault="00D639FF" w:rsidP="00D6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3F20C" w14:textId="77777777" w:rsidR="00D639FF" w:rsidRDefault="00D639FF" w:rsidP="00D639FF">
      <w:pPr>
        <w:spacing w:after="0" w:line="240" w:lineRule="auto"/>
      </w:pPr>
      <w:r>
        <w:separator/>
      </w:r>
    </w:p>
  </w:footnote>
  <w:footnote w:type="continuationSeparator" w:id="0">
    <w:p w14:paraId="5F69AA6C" w14:textId="77777777" w:rsidR="00D639FF" w:rsidRDefault="00D639FF" w:rsidP="00D63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7D0FC" w14:textId="23BC3A23" w:rsidR="00D639FF" w:rsidRPr="00D639FF" w:rsidRDefault="00D639FF">
    <w:pPr>
      <w:pStyle w:val="Header"/>
      <w:rPr>
        <w:b/>
      </w:rPr>
    </w:pPr>
    <w:r w:rsidRPr="00D639FF">
      <w:rPr>
        <w:b/>
      </w:rPr>
      <w:t xml:space="preserve">Recommended </w:t>
    </w:r>
    <w:r w:rsidR="00F758D0">
      <w:rPr>
        <w:b/>
      </w:rPr>
      <w:t xml:space="preserve">College/University </w:t>
    </w:r>
    <w:r w:rsidRPr="00D639FF">
      <w:rPr>
        <w:b/>
      </w:rPr>
      <w:t>Actions</w:t>
    </w:r>
    <w:r w:rsidR="00F758D0">
      <w:rPr>
        <w:b/>
      </w:rPr>
      <w:t xml:space="preserve"> – Immunization Task Force (ITF)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B53"/>
    <w:multiLevelType w:val="hybridMultilevel"/>
    <w:tmpl w:val="AAFC3B30"/>
    <w:lvl w:ilvl="0" w:tplc="178C93E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aps w:val="0"/>
        <w:strike w:val="0"/>
        <w:dstrike w:val="0"/>
        <w:vanish w:val="0"/>
        <w:sz w:val="24"/>
        <w:szCs w:val="28"/>
        <w:vertAlign w:val="baseli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A71F2"/>
    <w:multiLevelType w:val="hybridMultilevel"/>
    <w:tmpl w:val="F63614E4"/>
    <w:lvl w:ilvl="0" w:tplc="178C93E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aps w:val="0"/>
        <w:strike w:val="0"/>
        <w:dstrike w:val="0"/>
        <w:vanish w:val="0"/>
        <w:sz w:val="24"/>
        <w:szCs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2D0028"/>
    <w:multiLevelType w:val="hybridMultilevel"/>
    <w:tmpl w:val="5D9C89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C195D"/>
    <w:multiLevelType w:val="hybridMultilevel"/>
    <w:tmpl w:val="C54A2D70"/>
    <w:lvl w:ilvl="0" w:tplc="9C08897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aps w:val="0"/>
        <w:strike w:val="0"/>
        <w:dstrike w:val="0"/>
        <w:vanish w:val="0"/>
        <w:sz w:val="24"/>
        <w:szCs w:val="28"/>
        <w:vertAlign w:val="baseline"/>
      </w:rPr>
    </w:lvl>
    <w:lvl w:ilvl="1" w:tplc="178C93EC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caps w:val="0"/>
        <w:strike w:val="0"/>
        <w:dstrike w:val="0"/>
        <w:vanish w:val="0"/>
        <w:sz w:val="24"/>
        <w:szCs w:val="28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D67207"/>
    <w:multiLevelType w:val="hybridMultilevel"/>
    <w:tmpl w:val="1C044C8C"/>
    <w:lvl w:ilvl="0" w:tplc="3814A4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60985"/>
    <w:multiLevelType w:val="hybridMultilevel"/>
    <w:tmpl w:val="F402B96C"/>
    <w:lvl w:ilvl="0" w:tplc="3DF8A7AC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aps w:val="0"/>
        <w:strike w:val="0"/>
        <w:dstrike w:val="0"/>
        <w:vanish w:val="0"/>
        <w:sz w:val="24"/>
        <w:szCs w:val="28"/>
        <w:vertAlign w:val="baseline"/>
      </w:rPr>
    </w:lvl>
    <w:lvl w:ilvl="1" w:tplc="A8A6891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8437C4"/>
    <w:multiLevelType w:val="hybridMultilevel"/>
    <w:tmpl w:val="A4DE7ABA"/>
    <w:lvl w:ilvl="0" w:tplc="9C08897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aps w:val="0"/>
        <w:strike w:val="0"/>
        <w:dstrike w:val="0"/>
        <w:vanish w:val="0"/>
        <w:sz w:val="24"/>
        <w:szCs w:val="28"/>
        <w:vertAlign w:val="baseli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6059AF"/>
    <w:multiLevelType w:val="hybridMultilevel"/>
    <w:tmpl w:val="4E2C4950"/>
    <w:lvl w:ilvl="0" w:tplc="98765E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E8"/>
    <w:rsid w:val="00154E8E"/>
    <w:rsid w:val="001D62DF"/>
    <w:rsid w:val="001E2339"/>
    <w:rsid w:val="006030E8"/>
    <w:rsid w:val="006D6BB0"/>
    <w:rsid w:val="009A69AD"/>
    <w:rsid w:val="009F0C72"/>
    <w:rsid w:val="00A06B89"/>
    <w:rsid w:val="00A41024"/>
    <w:rsid w:val="00D639FF"/>
    <w:rsid w:val="00D87639"/>
    <w:rsid w:val="00F7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D1CF5"/>
  <w15:chartTrackingRefBased/>
  <w15:docId w15:val="{99958B31-FB30-429C-A169-6F6FB307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0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30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9FF"/>
  </w:style>
  <w:style w:type="paragraph" w:styleId="Footer">
    <w:name w:val="footer"/>
    <w:basedOn w:val="Normal"/>
    <w:link w:val="FooterChar"/>
    <w:uiPriority w:val="99"/>
    <w:unhideWhenUsed/>
    <w:rsid w:val="00D63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9FF"/>
  </w:style>
  <w:style w:type="paragraph" w:styleId="BalloonText">
    <w:name w:val="Balloon Text"/>
    <w:basedOn w:val="Normal"/>
    <w:link w:val="BalloonTextChar"/>
    <w:uiPriority w:val="99"/>
    <w:semiHidden/>
    <w:unhideWhenUsed/>
    <w:rsid w:val="0015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xOutreac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edyMe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Ohri, Linda K</dc:creator>
  <cp:keywords/>
  <dc:description/>
  <cp:lastModifiedBy>Ohri, Linda K</cp:lastModifiedBy>
  <cp:revision>2</cp:revision>
  <cp:lastPrinted>2017-03-31T21:33:00Z</cp:lastPrinted>
  <dcterms:created xsi:type="dcterms:W3CDTF">2017-03-31T21:33:00Z</dcterms:created>
  <dcterms:modified xsi:type="dcterms:W3CDTF">2017-03-31T21:33:00Z</dcterms:modified>
</cp:coreProperties>
</file>