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83E7" w14:textId="05C56E58" w:rsidR="00FE3E86" w:rsidRDefault="00FE3E86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When </w:t>
      </w:r>
      <w:r w:rsidRPr="00FE3E86">
        <w:t>meningococcal disease strikes</w:t>
      </w:r>
      <w:r>
        <w:t>,</w:t>
      </w:r>
      <w:r w:rsidRPr="00FE3E86">
        <w:t xml:space="preserve"> 10-15 </w:t>
      </w:r>
      <w:r>
        <w:t>%</w:t>
      </w:r>
      <w:r w:rsidRPr="00FE3E86">
        <w:t xml:space="preserve"> of those infected will die. </w:t>
      </w:r>
      <w:r>
        <w:t>Of</w:t>
      </w:r>
      <w:r w:rsidRPr="00FE3E86">
        <w:t xml:space="preserve"> those who survive, </w:t>
      </w:r>
      <w:r w:rsidR="001442D4">
        <w:t>11-19</w:t>
      </w:r>
      <w:r w:rsidRPr="00FE3E86">
        <w:t xml:space="preserve"> </w:t>
      </w:r>
      <w:r>
        <w:t>%</w:t>
      </w:r>
      <w:r w:rsidRPr="00FE3E86">
        <w:t xml:space="preserve"> will live with permanent</w:t>
      </w:r>
      <w:r w:rsidR="00B55D95">
        <w:t xml:space="preserve">, </w:t>
      </w:r>
      <w:r w:rsidR="00B55D95" w:rsidRPr="00B55D95">
        <w:t>calamitous</w:t>
      </w:r>
      <w:r w:rsidRPr="00FE3E86">
        <w:t xml:space="preserve"> and hugely expensive disa</w:t>
      </w:r>
      <w:r w:rsidR="00100248">
        <w:t>bilities, such as brain damage,</w:t>
      </w:r>
      <w:r w:rsidR="00AA6245">
        <w:t xml:space="preserve"> </w:t>
      </w:r>
      <w:r w:rsidR="00B55D95" w:rsidRPr="00FE3E86">
        <w:t>limb amputations</w:t>
      </w:r>
      <w:r w:rsidR="00AA6245">
        <w:t>,</w:t>
      </w:r>
      <w:r w:rsidR="00B55D95" w:rsidRPr="00FE3E86">
        <w:t xml:space="preserve"> </w:t>
      </w:r>
      <w:r w:rsidRPr="00FE3E86">
        <w:t>hearing loss,</w:t>
      </w:r>
      <w:r w:rsidR="00B55D95" w:rsidRPr="00FE3E86">
        <w:t xml:space="preserve"> or</w:t>
      </w:r>
      <w:r w:rsidRPr="00FE3E86">
        <w:t xml:space="preserve"> loss of kidney function</w:t>
      </w:r>
      <w:r w:rsidR="00B55D95">
        <w:t xml:space="preserve">. </w:t>
      </w:r>
      <w:r w:rsidRPr="00FE3E86">
        <w:t xml:space="preserve">Overall, </w:t>
      </w:r>
      <w:r>
        <w:t>1 in 3</w:t>
      </w:r>
      <w:r w:rsidRPr="00FE3E86">
        <w:t xml:space="preserve"> victims </w:t>
      </w:r>
      <w:r w:rsidR="00B55D95">
        <w:t>suffer catastrophic</w:t>
      </w:r>
      <w:r w:rsidRPr="00FE3E86">
        <w:t xml:space="preserve"> outcomes.</w:t>
      </w:r>
      <w:r>
        <w:t xml:space="preserve"> </w:t>
      </w:r>
      <w:r w:rsidR="0031529E">
        <w:t xml:space="preserve">Meningococcal </w:t>
      </w:r>
      <w:r w:rsidR="00182BB9">
        <w:t xml:space="preserve">meningitis </w:t>
      </w:r>
      <w:r w:rsidR="0031529E">
        <w:t>is a relatively rare vaccine preventable disease (VPD), but a devastating one.</w:t>
      </w:r>
    </w:p>
    <w:p w14:paraId="290D0F49" w14:textId="18C4F772" w:rsidR="00103B25" w:rsidRDefault="00103B25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03B25">
        <w:t xml:space="preserve">Disease associated with Neisseria </w:t>
      </w:r>
      <w:r w:rsidR="00B55D95">
        <w:t>meningitidi</w:t>
      </w:r>
      <w:r w:rsidR="00B55D95" w:rsidRPr="00103B25">
        <w:t>s</w:t>
      </w:r>
      <w:r w:rsidRPr="00103B25">
        <w:t xml:space="preserve"> bacteria include</w:t>
      </w:r>
      <w:r>
        <w:t>s</w:t>
      </w:r>
      <w:r w:rsidRPr="00103B25">
        <w:t xml:space="preserve"> meningitis (brain infection; 50% of cases), bacteremia (blood infection; 3</w:t>
      </w:r>
      <w:r w:rsidR="00182BB9">
        <w:t>8</w:t>
      </w:r>
      <w:r w:rsidRPr="00103B25">
        <w:t>% of cases), and bacteremic Pneumonia (lung infection wit</w:t>
      </w:r>
      <w:r w:rsidR="00182BB9">
        <w:t>h associated blood infection; 9</w:t>
      </w:r>
      <w:r w:rsidRPr="00103B25">
        <w:t>% of cases).</w:t>
      </w:r>
      <w:r w:rsidR="00AA6245">
        <w:t xml:space="preserve"> A hemorrhagic rash may lead to gangrene, requiring limb amputations.</w:t>
      </w:r>
    </w:p>
    <w:p w14:paraId="7510193D" w14:textId="77777777" w:rsidR="00103B25" w:rsidRDefault="00103B25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Transition from early mild, flu-like symptoms to critical, life-threatening </w:t>
      </w:r>
      <w:r w:rsidR="00B55D95">
        <w:t>infection</w:t>
      </w:r>
      <w:r>
        <w:t xml:space="preserve"> is so rapid that death may occur before a correct diagnosis and appropriate treatment is fully established. </w:t>
      </w:r>
    </w:p>
    <w:p w14:paraId="05A5426F" w14:textId="14B555EB" w:rsidR="00FE3E86" w:rsidRDefault="00FE3E86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This disease strikes unpredictably, among healthy </w:t>
      </w:r>
      <w:r w:rsidR="00103B25">
        <w:t xml:space="preserve">individuals </w:t>
      </w:r>
      <w:r>
        <w:t xml:space="preserve">as well </w:t>
      </w:r>
      <w:r w:rsidR="006150E9">
        <w:t xml:space="preserve">as </w:t>
      </w:r>
      <w:r>
        <w:t xml:space="preserve">in certain high risk groups. </w:t>
      </w:r>
      <w:r w:rsidR="001442D4">
        <w:t xml:space="preserve">Most cases are isolated and sporadic rather than in outbreaks. </w:t>
      </w:r>
      <w:r w:rsidR="00103B25">
        <w:t xml:space="preserve">Sporadic or initial outbreak cases cannot be prevented by antibiotic prophylaxis, </w:t>
      </w:r>
      <w:r w:rsidR="00B55D95">
        <w:t>though this</w:t>
      </w:r>
      <w:r w:rsidR="00103B25">
        <w:t xml:space="preserve"> has some </w:t>
      </w:r>
      <w:r w:rsidR="00B55D95">
        <w:t>utility</w:t>
      </w:r>
      <w:r w:rsidR="00103B25">
        <w:t xml:space="preserve"> to prevent secondary cases in outbreaks.</w:t>
      </w:r>
    </w:p>
    <w:p w14:paraId="2FF246CF" w14:textId="3642C616" w:rsidR="002973DE" w:rsidRDefault="00FE3E86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By age, teenagers and young adults are the highest risk groups for </w:t>
      </w:r>
      <w:r w:rsidR="006150E9">
        <w:t>illness</w:t>
      </w:r>
      <w:r w:rsidR="00103B25">
        <w:t xml:space="preserve"> from </w:t>
      </w:r>
      <w:r w:rsidR="006150E9">
        <w:t>Meningococcal meningitis types A,</w:t>
      </w:r>
      <w:r>
        <w:t xml:space="preserve"> C, Y and W, which cause ~73% of all cases in those </w:t>
      </w:r>
      <w:r w:rsidRPr="00FE3E86">
        <w:rPr>
          <w:u w:val="single"/>
        </w:rPr>
        <w:t>&gt;</w:t>
      </w:r>
      <w:r>
        <w:t xml:space="preserve"> 11 years of age. </w:t>
      </w:r>
    </w:p>
    <w:p w14:paraId="06FF892B" w14:textId="483245EC" w:rsidR="006150E9" w:rsidRDefault="006150E9" w:rsidP="006150E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Meningococcal type B illness accounts for ~ 1/3 of meningitis in teens and adults, and has been implicated in multiple college outbreaks. </w:t>
      </w:r>
      <w:r w:rsidR="00182BB9">
        <w:t>D</w:t>
      </w:r>
      <w:r>
        <w:t xml:space="preserve">isease characteristics are </w:t>
      </w:r>
      <w:r w:rsidR="00182BB9">
        <w:t xml:space="preserve">similar </w:t>
      </w:r>
      <w:r>
        <w:t xml:space="preserve">across all meningococcal meningitis types. </w:t>
      </w:r>
    </w:p>
    <w:p w14:paraId="7C934CA9" w14:textId="7D0C19A8" w:rsidR="00173892" w:rsidRPr="005C2EF7" w:rsidRDefault="006150E9" w:rsidP="006150E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lang w:val="en"/>
        </w:rPr>
        <w:t xml:space="preserve"> </w:t>
      </w:r>
      <w:r w:rsidR="001442D4">
        <w:rPr>
          <w:lang w:val="en"/>
        </w:rPr>
        <w:t>A</w:t>
      </w:r>
      <w:r w:rsidR="001442D4" w:rsidRPr="00FE3E86">
        <w:rPr>
          <w:lang w:val="en"/>
        </w:rPr>
        <w:t xml:space="preserve">dolescents and young adults </w:t>
      </w:r>
      <w:r w:rsidR="001442D4">
        <w:rPr>
          <w:lang w:val="en"/>
        </w:rPr>
        <w:t>have the highest n</w:t>
      </w:r>
      <w:r w:rsidR="001442D4" w:rsidRPr="00FE3E86">
        <w:rPr>
          <w:lang w:val="en"/>
        </w:rPr>
        <w:t>asopharyngeal carriage rates</w:t>
      </w:r>
      <w:r w:rsidR="001442D4">
        <w:rPr>
          <w:lang w:val="en"/>
        </w:rPr>
        <w:t>, and</w:t>
      </w:r>
      <w:r w:rsidR="00FE3E86" w:rsidRPr="00FE3E86">
        <w:rPr>
          <w:lang w:val="en"/>
        </w:rPr>
        <w:t xml:space="preserve"> </w:t>
      </w:r>
      <w:r w:rsidR="001442D4">
        <w:rPr>
          <w:lang w:val="en"/>
        </w:rPr>
        <w:t xml:space="preserve">are considered </w:t>
      </w:r>
      <w:r w:rsidR="00B55D95">
        <w:rPr>
          <w:lang w:val="en"/>
        </w:rPr>
        <w:t xml:space="preserve">the </w:t>
      </w:r>
      <w:r w:rsidR="001442D4">
        <w:rPr>
          <w:lang w:val="en"/>
        </w:rPr>
        <w:t>key</w:t>
      </w:r>
      <w:r w:rsidR="00B55D95">
        <w:rPr>
          <w:lang w:val="en"/>
        </w:rPr>
        <w:t xml:space="preserve"> reservoir</w:t>
      </w:r>
      <w:r w:rsidR="00FE3E86" w:rsidRPr="00FE3E86">
        <w:rPr>
          <w:lang w:val="en"/>
        </w:rPr>
        <w:t xml:space="preserve"> for transmission of </w:t>
      </w:r>
      <w:r w:rsidR="00FE3E86" w:rsidRPr="00FE3E86">
        <w:rPr>
          <w:i/>
          <w:iCs/>
          <w:lang w:val="en"/>
        </w:rPr>
        <w:t>N</w:t>
      </w:r>
      <w:r w:rsidR="00FE3E86">
        <w:rPr>
          <w:i/>
          <w:iCs/>
          <w:lang w:val="en"/>
        </w:rPr>
        <w:t>eisseria</w:t>
      </w:r>
      <w:r w:rsidR="001442D4">
        <w:rPr>
          <w:i/>
          <w:iCs/>
          <w:lang w:val="en"/>
        </w:rPr>
        <w:t xml:space="preserve"> Meningitidis</w:t>
      </w:r>
      <w:r w:rsidR="001442D4" w:rsidRPr="00B55D95">
        <w:rPr>
          <w:iCs/>
          <w:lang w:val="en"/>
        </w:rPr>
        <w:t xml:space="preserve"> disease</w:t>
      </w:r>
      <w:r w:rsidR="001442D4">
        <w:rPr>
          <w:i/>
          <w:iCs/>
          <w:lang w:val="en"/>
        </w:rPr>
        <w:t xml:space="preserve">. </w:t>
      </w:r>
      <w:r w:rsidR="00103B25">
        <w:rPr>
          <w:iCs/>
          <w:lang w:val="en"/>
        </w:rPr>
        <w:t>C</w:t>
      </w:r>
      <w:r w:rsidR="0031529E" w:rsidRPr="0031529E">
        <w:rPr>
          <w:iCs/>
          <w:lang w:val="en"/>
        </w:rPr>
        <w:t xml:space="preserve">arriage rates </w:t>
      </w:r>
      <w:r w:rsidR="00103B25">
        <w:rPr>
          <w:iCs/>
          <w:lang w:val="en"/>
        </w:rPr>
        <w:t xml:space="preserve">are estimated </w:t>
      </w:r>
      <w:r w:rsidR="00182BB9">
        <w:rPr>
          <w:iCs/>
          <w:lang w:val="en"/>
        </w:rPr>
        <w:t>at 12% by 15 years of age, 20% by 17 years, 23</w:t>
      </w:r>
      <w:r w:rsidR="0031529E" w:rsidRPr="0031529E">
        <w:rPr>
          <w:iCs/>
          <w:lang w:val="en"/>
        </w:rPr>
        <w:t xml:space="preserve">% by 18 years, and </w:t>
      </w:r>
      <w:r w:rsidR="00B55D95">
        <w:rPr>
          <w:iCs/>
          <w:lang w:val="en"/>
        </w:rPr>
        <w:t>at</w:t>
      </w:r>
      <w:r w:rsidR="00182BB9">
        <w:rPr>
          <w:iCs/>
          <w:lang w:val="en"/>
        </w:rPr>
        <w:t xml:space="preserve"> a peak of 24</w:t>
      </w:r>
      <w:r w:rsidR="0031529E" w:rsidRPr="0031529E">
        <w:rPr>
          <w:iCs/>
          <w:lang w:val="en"/>
        </w:rPr>
        <w:t>% by 19 years old.</w:t>
      </w:r>
      <w:r w:rsidR="005C2EF7">
        <w:rPr>
          <w:iCs/>
          <w:lang w:val="en"/>
        </w:rPr>
        <w:t xml:space="preserve"> </w:t>
      </w:r>
      <w:r w:rsidR="001A68E5" w:rsidRPr="001A68E5">
        <w:rPr>
          <w:iCs/>
        </w:rPr>
        <w:t xml:space="preserve">There are slightly more male </w:t>
      </w:r>
      <w:r w:rsidR="00B55D95">
        <w:rPr>
          <w:iCs/>
        </w:rPr>
        <w:t>than female carriers</w:t>
      </w:r>
      <w:r w:rsidR="001A68E5">
        <w:rPr>
          <w:iCs/>
        </w:rPr>
        <w:t>.</w:t>
      </w:r>
    </w:p>
    <w:p w14:paraId="39F0EAF4" w14:textId="6404873B" w:rsidR="005C2EF7" w:rsidRPr="00173892" w:rsidRDefault="005C2EF7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iCs/>
          <w:lang w:val="en"/>
        </w:rPr>
        <w:t>O</w:t>
      </w:r>
      <w:r w:rsidRPr="005C2EF7">
        <w:rPr>
          <w:iCs/>
          <w:lang w:val="en"/>
        </w:rPr>
        <w:t>verall</w:t>
      </w:r>
      <w:r>
        <w:rPr>
          <w:iCs/>
          <w:lang w:val="en"/>
        </w:rPr>
        <w:t>,</w:t>
      </w:r>
      <w:r w:rsidRPr="005C2EF7">
        <w:rPr>
          <w:iCs/>
          <w:lang w:val="en"/>
        </w:rPr>
        <w:t xml:space="preserve"> incidence among college students </w:t>
      </w:r>
      <w:r>
        <w:rPr>
          <w:iCs/>
          <w:lang w:val="en"/>
        </w:rPr>
        <w:t>appears</w:t>
      </w:r>
      <w:r w:rsidRPr="005C2EF7">
        <w:rPr>
          <w:iCs/>
          <w:lang w:val="en"/>
        </w:rPr>
        <w:t xml:space="preserve"> </w:t>
      </w:r>
      <w:r w:rsidR="00182BB9" w:rsidRPr="005C2EF7">
        <w:rPr>
          <w:iCs/>
          <w:lang w:val="en"/>
        </w:rPr>
        <w:t>like</w:t>
      </w:r>
      <w:r w:rsidRPr="005C2EF7">
        <w:rPr>
          <w:iCs/>
          <w:lang w:val="en"/>
        </w:rPr>
        <w:t xml:space="preserve"> that observed among persons of approximately the same age in the general population</w:t>
      </w:r>
      <w:r>
        <w:rPr>
          <w:iCs/>
          <w:lang w:val="en"/>
        </w:rPr>
        <w:t>. Howe</w:t>
      </w:r>
      <w:r w:rsidRPr="005C2EF7">
        <w:rPr>
          <w:iCs/>
          <w:lang w:val="en"/>
        </w:rPr>
        <w:t xml:space="preserve">ver, multivariate analysis </w:t>
      </w:r>
      <w:r>
        <w:rPr>
          <w:iCs/>
          <w:lang w:val="en"/>
        </w:rPr>
        <w:t>suggests</w:t>
      </w:r>
      <w:r w:rsidRPr="005C2EF7">
        <w:rPr>
          <w:iCs/>
          <w:lang w:val="en"/>
        </w:rPr>
        <w:t xml:space="preserve"> that first-year college students living in residence halls </w:t>
      </w:r>
      <w:r>
        <w:rPr>
          <w:iCs/>
          <w:lang w:val="en"/>
        </w:rPr>
        <w:t>are</w:t>
      </w:r>
      <w:r w:rsidRPr="005C2EF7">
        <w:rPr>
          <w:iCs/>
          <w:lang w:val="en"/>
        </w:rPr>
        <w:t xml:space="preserve"> at higher risk for meningococcal disease than other students</w:t>
      </w:r>
      <w:r>
        <w:rPr>
          <w:iCs/>
          <w:lang w:val="en"/>
        </w:rPr>
        <w:t>.</w:t>
      </w:r>
    </w:p>
    <w:p w14:paraId="6A725A58" w14:textId="77777777" w:rsidR="00173892" w:rsidRPr="00173892" w:rsidRDefault="00AF2B8B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iCs/>
          <w:lang w:val="en"/>
        </w:rPr>
        <w:t>Preceding</w:t>
      </w:r>
      <w:r w:rsidR="00D52652" w:rsidRPr="00173892">
        <w:rPr>
          <w:iCs/>
          <w:lang w:val="en"/>
        </w:rPr>
        <w:t xml:space="preserve"> </w:t>
      </w:r>
      <w:r w:rsidR="00173892">
        <w:rPr>
          <w:iCs/>
          <w:lang w:val="en"/>
        </w:rPr>
        <w:t>upper respiratory viral/bacterial</w:t>
      </w:r>
      <w:r w:rsidR="00D52652" w:rsidRPr="00173892">
        <w:rPr>
          <w:iCs/>
          <w:lang w:val="en"/>
        </w:rPr>
        <w:t xml:space="preserve"> infections, crowded living conditions, </w:t>
      </w:r>
      <w:r w:rsidR="00173892">
        <w:rPr>
          <w:iCs/>
          <w:lang w:val="en"/>
        </w:rPr>
        <w:t xml:space="preserve">high social mixing, </w:t>
      </w:r>
      <w:r w:rsidR="00D52652" w:rsidRPr="00173892">
        <w:rPr>
          <w:iCs/>
          <w:lang w:val="en"/>
        </w:rPr>
        <w:t xml:space="preserve">both active and passive smoke exposure, </w:t>
      </w:r>
      <w:r>
        <w:rPr>
          <w:iCs/>
          <w:lang w:val="en"/>
        </w:rPr>
        <w:t xml:space="preserve">excessive alcohol consumption, </w:t>
      </w:r>
      <w:r w:rsidR="00173892">
        <w:rPr>
          <w:iCs/>
          <w:lang w:val="en"/>
        </w:rPr>
        <w:t>and sharing of secretions by kissing</w:t>
      </w:r>
      <w:r w:rsidR="00D52652" w:rsidRPr="00173892">
        <w:rPr>
          <w:iCs/>
          <w:lang w:val="en"/>
        </w:rPr>
        <w:t xml:space="preserve"> </w:t>
      </w:r>
      <w:r w:rsidR="00173892">
        <w:rPr>
          <w:iCs/>
          <w:lang w:val="en"/>
        </w:rPr>
        <w:t>or sharing of drinking utensils</w:t>
      </w:r>
      <w:r w:rsidR="00173892" w:rsidRPr="00173892">
        <w:rPr>
          <w:iCs/>
          <w:lang w:val="en"/>
        </w:rPr>
        <w:t xml:space="preserve"> </w:t>
      </w:r>
      <w:r w:rsidR="00D52652" w:rsidRPr="00173892">
        <w:rPr>
          <w:iCs/>
          <w:lang w:val="en"/>
        </w:rPr>
        <w:t>are associated with increased risk for meningococcal disease</w:t>
      </w:r>
      <w:r w:rsidR="00173892">
        <w:rPr>
          <w:iCs/>
          <w:lang w:val="en"/>
        </w:rPr>
        <w:t xml:space="preserve">.  </w:t>
      </w:r>
    </w:p>
    <w:p w14:paraId="4000DBA7" w14:textId="77777777" w:rsidR="00FE3E86" w:rsidRPr="001443C1" w:rsidRDefault="00AF2B8B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iCs/>
        </w:rPr>
        <w:t>P</w:t>
      </w:r>
      <w:r w:rsidRPr="0031529E">
        <w:rPr>
          <w:iCs/>
        </w:rPr>
        <w:t>eople with low socio-economic status, whatever their ethnic origin, are more likely to develop meningococcal disease</w:t>
      </w:r>
      <w:r>
        <w:rPr>
          <w:iCs/>
        </w:rPr>
        <w:t xml:space="preserve">. </w:t>
      </w:r>
      <w:r w:rsidR="00173892">
        <w:rPr>
          <w:iCs/>
          <w:lang w:val="en"/>
        </w:rPr>
        <w:t xml:space="preserve">Certain chronic underlying illnesses (immune compromise, </w:t>
      </w:r>
      <w:r>
        <w:rPr>
          <w:iCs/>
          <w:lang w:val="en"/>
        </w:rPr>
        <w:t>non-functioning or absent spleen</w:t>
      </w:r>
      <w:r w:rsidR="00173892">
        <w:rPr>
          <w:iCs/>
          <w:lang w:val="en"/>
        </w:rPr>
        <w:t xml:space="preserve">, </w:t>
      </w:r>
      <w:r>
        <w:rPr>
          <w:iCs/>
          <w:lang w:val="en"/>
        </w:rPr>
        <w:t>etc.</w:t>
      </w:r>
      <w:r w:rsidR="00173892">
        <w:rPr>
          <w:iCs/>
          <w:lang w:val="en"/>
        </w:rPr>
        <w:t xml:space="preserve">) are also associated with increased risk. </w:t>
      </w:r>
    </w:p>
    <w:p w14:paraId="7BF76EE7" w14:textId="0A377047" w:rsidR="009F430F" w:rsidRDefault="001A68E5" w:rsidP="00AA624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iCs/>
        </w:rPr>
        <w:t>T</w:t>
      </w:r>
      <w:r w:rsidR="00182BB9">
        <w:rPr>
          <w:iCs/>
        </w:rPr>
        <w:t>here are other, less severe</w:t>
      </w:r>
      <w:r w:rsidR="001443C1" w:rsidRPr="001443C1">
        <w:rPr>
          <w:iCs/>
        </w:rPr>
        <w:t xml:space="preserve"> causes of meningitis </w:t>
      </w:r>
      <w:r>
        <w:rPr>
          <w:iCs/>
        </w:rPr>
        <w:t xml:space="preserve">- </w:t>
      </w:r>
      <w:r w:rsidR="001443C1" w:rsidRPr="001443C1">
        <w:rPr>
          <w:iCs/>
        </w:rPr>
        <w:t xml:space="preserve">viral meningitis </w:t>
      </w:r>
      <w:r>
        <w:rPr>
          <w:iCs/>
        </w:rPr>
        <w:t xml:space="preserve">is much more common, </w:t>
      </w:r>
      <w:r w:rsidR="00AF2B8B">
        <w:rPr>
          <w:iCs/>
        </w:rPr>
        <w:t xml:space="preserve">has similar initial symptoms, </w:t>
      </w:r>
      <w:r>
        <w:rPr>
          <w:iCs/>
        </w:rPr>
        <w:t xml:space="preserve">but does not typically result in severe outcomes. </w:t>
      </w:r>
      <w:r w:rsidR="00182BB9">
        <w:rPr>
          <w:iCs/>
        </w:rPr>
        <w:t xml:space="preserve"> </w:t>
      </w:r>
      <w:r>
        <w:rPr>
          <w:iCs/>
        </w:rPr>
        <w:t>However</w:t>
      </w:r>
      <w:r w:rsidR="001443C1" w:rsidRPr="001443C1">
        <w:rPr>
          <w:iCs/>
        </w:rPr>
        <w:t xml:space="preserve">, when possible meningitis cases are identified in group settings, school and public health officials must often immediately mount </w:t>
      </w:r>
      <w:r w:rsidR="006150E9">
        <w:rPr>
          <w:iCs/>
        </w:rPr>
        <w:t xml:space="preserve">large </w:t>
      </w:r>
      <w:r w:rsidR="001443C1" w:rsidRPr="001443C1">
        <w:rPr>
          <w:iCs/>
        </w:rPr>
        <w:t xml:space="preserve">manpower and economic intensive outbreak control measures before a complete diagnosis is available. </w:t>
      </w:r>
    </w:p>
    <w:p w14:paraId="76E93741" w14:textId="77777777" w:rsidR="00AA6245" w:rsidRPr="00AA6245" w:rsidRDefault="00AA6245" w:rsidP="00AA6245">
      <w:pPr>
        <w:pStyle w:val="ListParagraph"/>
        <w:spacing w:after="120" w:line="240" w:lineRule="auto"/>
        <w:ind w:left="360"/>
        <w:contextualSpacing w:val="0"/>
        <w:rPr>
          <w:sz w:val="12"/>
          <w:szCs w:val="12"/>
        </w:rPr>
      </w:pPr>
    </w:p>
    <w:p w14:paraId="6BF9BEA8" w14:textId="292ADEBF" w:rsidR="00FD69F6" w:rsidRDefault="00AA6245" w:rsidP="008D35BA">
      <w:r>
        <w:t xml:space="preserve">                    </w:t>
      </w:r>
      <w:r>
        <w:rPr>
          <w:noProof/>
        </w:rPr>
        <w:drawing>
          <wp:inline distT="0" distB="0" distL="0" distR="0" wp14:anchorId="67143195" wp14:editId="0CBF1964">
            <wp:extent cx="1515301" cy="1052423"/>
            <wp:effectExtent l="19050" t="19050" r="27940" b="14605"/>
            <wp:docPr id="2" name="Picture 2" descr="http://www.cdc.gov/meningococcal/images/te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c.gov/meningococcal/images/tee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37" cy="11571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="00100248">
        <w:t xml:space="preserve">       </w:t>
      </w:r>
      <w:r>
        <w:t xml:space="preserve">    </w:t>
      </w:r>
      <w:r>
        <w:rPr>
          <w:noProof/>
        </w:rPr>
        <w:drawing>
          <wp:inline distT="0" distB="0" distL="0" distR="0" wp14:anchorId="1A3DD943" wp14:editId="51C4A133">
            <wp:extent cx="2079326" cy="1056859"/>
            <wp:effectExtent l="19050" t="19050" r="16510" b="10160"/>
            <wp:docPr id="1" name="Picture 1" descr="http://d4nl71lnqznpy.cloudfront.net/wp-content/uploads/2015/02/Meningococcal-Disease-770x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4nl71lnqznpy.cloudfront.net/wp-content/uploads/2015/02/Meningococcal-Disease-770x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66" cy="1119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B00DEA" w14:textId="5EECCF1F" w:rsidR="00415EB7" w:rsidRPr="00415EB7" w:rsidRDefault="00415EB7" w:rsidP="008D35BA">
      <w:pPr>
        <w:rPr>
          <w:b/>
        </w:rPr>
      </w:pPr>
      <w:r w:rsidRPr="00415EB7">
        <w:rPr>
          <w:b/>
          <w:sz w:val="24"/>
        </w:rPr>
        <w:t xml:space="preserve">More information about meningococcal disease: </w:t>
      </w:r>
      <w:hyperlink r:id="rId9" w:history="1">
        <w:r w:rsidRPr="00415EB7">
          <w:rPr>
            <w:rStyle w:val="Hyperlink"/>
            <w:b/>
            <w:sz w:val="24"/>
          </w:rPr>
          <w:t>www.cdc.gov/meningococcal/index.htm</w:t>
        </w:r>
        <w:bookmarkStart w:id="0" w:name="_GoBack"/>
        <w:bookmarkEnd w:id="0"/>
        <w:r w:rsidRPr="00415EB7">
          <w:rPr>
            <w:rStyle w:val="Hyperlink"/>
            <w:b/>
            <w:sz w:val="24"/>
          </w:rPr>
          <w:t>l</w:t>
        </w:r>
      </w:hyperlink>
      <w:r w:rsidRPr="00415EB7">
        <w:rPr>
          <w:b/>
        </w:rPr>
        <w:t xml:space="preserve"> </w:t>
      </w:r>
    </w:p>
    <w:sectPr w:rsidR="00415EB7" w:rsidRPr="00415EB7" w:rsidSect="009F430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D44C" w14:textId="77777777" w:rsidR="009F430F" w:rsidRDefault="009F430F" w:rsidP="009F430F">
      <w:pPr>
        <w:spacing w:after="0" w:line="240" w:lineRule="auto"/>
      </w:pPr>
      <w:r>
        <w:separator/>
      </w:r>
    </w:p>
  </w:endnote>
  <w:endnote w:type="continuationSeparator" w:id="0">
    <w:p w14:paraId="6F8D905C" w14:textId="77777777" w:rsidR="009F430F" w:rsidRDefault="009F430F" w:rsidP="009F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14C3" w14:textId="77777777" w:rsidR="009F430F" w:rsidRDefault="009F430F" w:rsidP="009F430F">
      <w:pPr>
        <w:spacing w:after="0" w:line="240" w:lineRule="auto"/>
      </w:pPr>
      <w:r>
        <w:separator/>
      </w:r>
    </w:p>
  </w:footnote>
  <w:footnote w:type="continuationSeparator" w:id="0">
    <w:p w14:paraId="493688B0" w14:textId="77777777" w:rsidR="009F430F" w:rsidRDefault="009F430F" w:rsidP="009F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D34E" w14:textId="32E22825" w:rsidR="00DC5A6B" w:rsidRDefault="00DC5A6B">
    <w:pPr>
      <w:pStyle w:val="Header"/>
    </w:pPr>
    <w:r w:rsidRPr="00CA6C0F">
      <w:rPr>
        <w:b/>
        <w:sz w:val="28"/>
      </w:rPr>
      <w:t>Fact Sheet:</w:t>
    </w:r>
    <w:r w:rsidRPr="00CA6C0F">
      <w:rPr>
        <w:sz w:val="28"/>
      </w:rPr>
      <w:t xml:space="preserve"> </w:t>
    </w:r>
    <w:r w:rsidR="00CA6C0F" w:rsidRPr="00CA6C0F">
      <w:rPr>
        <w:b/>
        <w:sz w:val="28"/>
      </w:rPr>
      <w:t>Meningococcal Meningitis</w:t>
    </w:r>
    <w:r w:rsidR="00CA6C0F" w:rsidRPr="00CA6C0F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F39"/>
    <w:multiLevelType w:val="hybridMultilevel"/>
    <w:tmpl w:val="E2EC0ED8"/>
    <w:lvl w:ilvl="0" w:tplc="B1963C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491"/>
    <w:multiLevelType w:val="hybridMultilevel"/>
    <w:tmpl w:val="BAF03214"/>
    <w:lvl w:ilvl="0" w:tplc="B1963C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65F4"/>
    <w:multiLevelType w:val="hybridMultilevel"/>
    <w:tmpl w:val="11706210"/>
    <w:lvl w:ilvl="0" w:tplc="B1963C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0F"/>
    <w:rsid w:val="00087937"/>
    <w:rsid w:val="000C25CF"/>
    <w:rsid w:val="00100248"/>
    <w:rsid w:val="00103B25"/>
    <w:rsid w:val="001114EF"/>
    <w:rsid w:val="00134B72"/>
    <w:rsid w:val="001442D4"/>
    <w:rsid w:val="001443C1"/>
    <w:rsid w:val="00173892"/>
    <w:rsid w:val="00182BB9"/>
    <w:rsid w:val="00187A4C"/>
    <w:rsid w:val="001A68E5"/>
    <w:rsid w:val="001E1A2C"/>
    <w:rsid w:val="002973DE"/>
    <w:rsid w:val="0031529E"/>
    <w:rsid w:val="00415EB7"/>
    <w:rsid w:val="00450B9D"/>
    <w:rsid w:val="004D1E3E"/>
    <w:rsid w:val="004E6593"/>
    <w:rsid w:val="004E756A"/>
    <w:rsid w:val="00524CC7"/>
    <w:rsid w:val="00550D76"/>
    <w:rsid w:val="005C2EF7"/>
    <w:rsid w:val="006150E9"/>
    <w:rsid w:val="006429CE"/>
    <w:rsid w:val="00671597"/>
    <w:rsid w:val="007F0F3D"/>
    <w:rsid w:val="0085155A"/>
    <w:rsid w:val="0087324E"/>
    <w:rsid w:val="0088520B"/>
    <w:rsid w:val="00893B88"/>
    <w:rsid w:val="00896851"/>
    <w:rsid w:val="008D2F30"/>
    <w:rsid w:val="008D35BA"/>
    <w:rsid w:val="009B6132"/>
    <w:rsid w:val="009F430F"/>
    <w:rsid w:val="00AA6245"/>
    <w:rsid w:val="00AF2B8B"/>
    <w:rsid w:val="00B07DCA"/>
    <w:rsid w:val="00B55D95"/>
    <w:rsid w:val="00BC6F76"/>
    <w:rsid w:val="00CA6C0F"/>
    <w:rsid w:val="00CE4823"/>
    <w:rsid w:val="00CF342E"/>
    <w:rsid w:val="00D46533"/>
    <w:rsid w:val="00D51098"/>
    <w:rsid w:val="00D52652"/>
    <w:rsid w:val="00DC5A6B"/>
    <w:rsid w:val="00EE246E"/>
    <w:rsid w:val="00FD69F6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A417FD"/>
  <w15:chartTrackingRefBased/>
  <w15:docId w15:val="{B96CA8F2-6106-419A-838B-FE2E1EE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0F"/>
  </w:style>
  <w:style w:type="paragraph" w:styleId="Footer">
    <w:name w:val="footer"/>
    <w:basedOn w:val="Normal"/>
    <w:link w:val="FooterChar"/>
    <w:uiPriority w:val="99"/>
    <w:unhideWhenUsed/>
    <w:rsid w:val="009F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0F"/>
  </w:style>
  <w:style w:type="paragraph" w:styleId="ListParagraph">
    <w:name w:val="List Paragraph"/>
    <w:basedOn w:val="Normal"/>
    <w:uiPriority w:val="34"/>
    <w:qFormat/>
    <w:rsid w:val="00FE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meningococca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- SPAHP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Ohri, Linda K.</dc:creator>
  <cp:keywords/>
  <dc:description/>
  <cp:lastModifiedBy>Ohri, Linda K</cp:lastModifiedBy>
  <cp:revision>6</cp:revision>
  <cp:lastPrinted>2015-07-25T21:44:00Z</cp:lastPrinted>
  <dcterms:created xsi:type="dcterms:W3CDTF">2017-03-16T17:52:00Z</dcterms:created>
  <dcterms:modified xsi:type="dcterms:W3CDTF">2017-03-31T21:04:00Z</dcterms:modified>
</cp:coreProperties>
</file>