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9B2805" w14:textId="5BC866A0" w:rsidR="00893B88" w:rsidRDefault="00980247" w:rsidP="000C25CF">
      <w:pPr>
        <w:pStyle w:val="ListParagraph"/>
        <w:numPr>
          <w:ilvl w:val="0"/>
          <w:numId w:val="1"/>
        </w:numPr>
        <w:spacing w:after="120" w:line="240" w:lineRule="auto"/>
        <w:contextualSpacing w:val="0"/>
      </w:pPr>
      <w:r w:rsidRPr="00980247">
        <w:rPr>
          <w:b/>
          <w:iCs/>
          <w:sz w:val="28"/>
        </w:rPr>
        <w:t>MCV-4</w:t>
      </w:r>
      <w:r>
        <w:rPr>
          <w:iCs/>
        </w:rPr>
        <w:t xml:space="preserve"> conjugate vaccine (there are t</w:t>
      </w:r>
      <w:r w:rsidR="004E756A">
        <w:rPr>
          <w:iCs/>
        </w:rPr>
        <w:t>wo</w:t>
      </w:r>
      <w:r w:rsidR="00893B88">
        <w:rPr>
          <w:iCs/>
        </w:rPr>
        <w:t xml:space="preserve"> commercial </w:t>
      </w:r>
      <w:r>
        <w:rPr>
          <w:iCs/>
        </w:rPr>
        <w:t xml:space="preserve">products available: </w:t>
      </w:r>
      <w:r w:rsidR="00893B88">
        <w:rPr>
          <w:iCs/>
        </w:rPr>
        <w:t>Menactra</w:t>
      </w:r>
      <w:r w:rsidR="00B07DCA">
        <w:rPr>
          <w:iCs/>
        </w:rPr>
        <w:t>®</w:t>
      </w:r>
      <w:r w:rsidR="00893B88">
        <w:rPr>
          <w:iCs/>
        </w:rPr>
        <w:t xml:space="preserve"> and Menveo</w:t>
      </w:r>
      <w:r w:rsidR="00B07DCA">
        <w:rPr>
          <w:iCs/>
        </w:rPr>
        <w:t>®</w:t>
      </w:r>
      <w:r w:rsidR="00893B88">
        <w:rPr>
          <w:iCs/>
        </w:rPr>
        <w:t>)</w:t>
      </w:r>
      <w:r w:rsidR="004E756A">
        <w:rPr>
          <w:iCs/>
        </w:rPr>
        <w:t xml:space="preserve"> </w:t>
      </w:r>
      <w:r>
        <w:rPr>
          <w:iCs/>
        </w:rPr>
        <w:t>is available for</w:t>
      </w:r>
      <w:r w:rsidR="00B07DCA">
        <w:rPr>
          <w:iCs/>
        </w:rPr>
        <w:t xml:space="preserve"> teenagers </w:t>
      </w:r>
      <w:r w:rsidR="00E87569">
        <w:rPr>
          <w:iCs/>
        </w:rPr>
        <w:t>and</w:t>
      </w:r>
      <w:r w:rsidR="00B07DCA">
        <w:rPr>
          <w:iCs/>
        </w:rPr>
        <w:t xml:space="preserve"> young adults</w:t>
      </w:r>
      <w:r>
        <w:rPr>
          <w:iCs/>
        </w:rPr>
        <w:t xml:space="preserve">, as well as for other high risk individuals, to reduce the risk of </w:t>
      </w:r>
      <w:r w:rsidRPr="00980247">
        <w:rPr>
          <w:b/>
          <w:iCs/>
        </w:rPr>
        <w:t>meningococcal meningitis A/C/Y/W-135</w:t>
      </w:r>
      <w:r>
        <w:rPr>
          <w:iCs/>
        </w:rPr>
        <w:t xml:space="preserve"> types of infection.</w:t>
      </w:r>
      <w:r w:rsidR="00B07DCA">
        <w:rPr>
          <w:iCs/>
        </w:rPr>
        <w:t xml:space="preserve"> </w:t>
      </w:r>
    </w:p>
    <w:p w14:paraId="345B1AD7" w14:textId="5ED659F6" w:rsidR="006429CE" w:rsidRDefault="00980247" w:rsidP="00E87569">
      <w:pPr>
        <w:pStyle w:val="ListParagraph"/>
        <w:numPr>
          <w:ilvl w:val="0"/>
          <w:numId w:val="1"/>
        </w:numPr>
        <w:spacing w:after="120" w:line="240" w:lineRule="auto"/>
        <w:contextualSpacing w:val="0"/>
      </w:pPr>
      <w:r w:rsidRPr="00980247">
        <w:rPr>
          <w:b/>
          <w:sz w:val="28"/>
        </w:rPr>
        <w:t>Men-B</w:t>
      </w:r>
      <w:r w:rsidRPr="00980247">
        <w:rPr>
          <w:sz w:val="28"/>
        </w:rPr>
        <w:t xml:space="preserve"> </w:t>
      </w:r>
      <w:r>
        <w:t>vaccine (there are t</w:t>
      </w:r>
      <w:r w:rsidR="004E756A">
        <w:t>wo</w:t>
      </w:r>
      <w:r w:rsidR="00B07DCA">
        <w:t xml:space="preserve"> </w:t>
      </w:r>
      <w:r w:rsidR="009756E5">
        <w:t xml:space="preserve">commercial </w:t>
      </w:r>
      <w:r>
        <w:t xml:space="preserve">products available: </w:t>
      </w:r>
      <w:r w:rsidR="00B07DCA">
        <w:t xml:space="preserve">Trumenba® </w:t>
      </w:r>
      <w:r w:rsidR="00E87569">
        <w:t>&amp;</w:t>
      </w:r>
      <w:r w:rsidR="00B07DCA">
        <w:t xml:space="preserve"> </w:t>
      </w:r>
      <w:r w:rsidR="004E756A">
        <w:t>Bexsero®)</w:t>
      </w:r>
      <w:r w:rsidR="006429CE">
        <w:t xml:space="preserve"> </w:t>
      </w:r>
      <w:r>
        <w:t xml:space="preserve">is available for teenagers and young adults, as well as for other high risk individuals, to reduce the risk of </w:t>
      </w:r>
      <w:r w:rsidRPr="00980247">
        <w:rPr>
          <w:b/>
        </w:rPr>
        <w:t xml:space="preserve">meningococcal meningitis B </w:t>
      </w:r>
      <w:r>
        <w:t>types of infection.</w:t>
      </w:r>
      <w:r w:rsidR="00E87569" w:rsidRPr="00E87569">
        <w:t xml:space="preserve"> </w:t>
      </w:r>
      <w:r w:rsidR="004E756A">
        <w:t xml:space="preserve"> </w:t>
      </w:r>
    </w:p>
    <w:p w14:paraId="26216779" w14:textId="7D7C9A53" w:rsidR="00893B88" w:rsidRPr="00343CA5" w:rsidRDefault="00FF34BA" w:rsidP="000C25CF">
      <w:pPr>
        <w:pStyle w:val="ListParagraph"/>
        <w:numPr>
          <w:ilvl w:val="0"/>
          <w:numId w:val="1"/>
        </w:numPr>
        <w:spacing w:after="120" w:line="240" w:lineRule="auto"/>
        <w:contextualSpacing w:val="0"/>
      </w:pPr>
      <w:r>
        <w:rPr>
          <w:lang w:val="en"/>
        </w:rPr>
        <w:t xml:space="preserve">The </w:t>
      </w:r>
      <w:r w:rsidR="00CF342E">
        <w:rPr>
          <w:lang w:val="en"/>
        </w:rPr>
        <w:t>CDC-A</w:t>
      </w:r>
      <w:r w:rsidR="009756E5">
        <w:rPr>
          <w:lang w:val="en"/>
        </w:rPr>
        <w:t xml:space="preserve">dvisory </w:t>
      </w:r>
      <w:r w:rsidR="00CF342E">
        <w:rPr>
          <w:lang w:val="en"/>
        </w:rPr>
        <w:t>C</w:t>
      </w:r>
      <w:r w:rsidR="009756E5">
        <w:rPr>
          <w:lang w:val="en"/>
        </w:rPr>
        <w:t xml:space="preserve">ommittee on </w:t>
      </w:r>
      <w:r w:rsidR="00CF342E">
        <w:rPr>
          <w:lang w:val="en"/>
        </w:rPr>
        <w:t>I</w:t>
      </w:r>
      <w:r w:rsidR="009756E5">
        <w:rPr>
          <w:lang w:val="en"/>
        </w:rPr>
        <w:t xml:space="preserve">mmunization </w:t>
      </w:r>
      <w:r w:rsidR="00CF342E">
        <w:rPr>
          <w:lang w:val="en"/>
        </w:rPr>
        <w:t>P</w:t>
      </w:r>
      <w:r w:rsidR="009756E5">
        <w:rPr>
          <w:lang w:val="en"/>
        </w:rPr>
        <w:t>ractices (ACIP)</w:t>
      </w:r>
      <w:r w:rsidR="00CF342E" w:rsidRPr="00CF342E">
        <w:rPr>
          <w:lang w:val="en"/>
        </w:rPr>
        <w:t xml:space="preserve"> recommends </w:t>
      </w:r>
      <w:r w:rsidR="00CF342E" w:rsidRPr="00CF342E">
        <w:t xml:space="preserve">routine administration of a </w:t>
      </w:r>
      <w:r w:rsidR="009756E5">
        <w:t>MCV-4</w:t>
      </w:r>
      <w:r w:rsidR="00CF342E" w:rsidRPr="00CF342E">
        <w:t xml:space="preserve"> vaccine for all persons aged 11 through 18 years</w:t>
      </w:r>
      <w:r w:rsidR="00CF342E">
        <w:rPr>
          <w:lang w:val="en"/>
        </w:rPr>
        <w:t xml:space="preserve">, </w:t>
      </w:r>
      <w:r w:rsidR="009756E5">
        <w:rPr>
          <w:lang w:val="en"/>
        </w:rPr>
        <w:t xml:space="preserve">with a first dose </w:t>
      </w:r>
      <w:r w:rsidR="00CF342E">
        <w:rPr>
          <w:lang w:val="en"/>
        </w:rPr>
        <w:t xml:space="preserve">at 11-12 and </w:t>
      </w:r>
      <w:r w:rsidR="009756E5">
        <w:rPr>
          <w:lang w:val="en"/>
        </w:rPr>
        <w:t xml:space="preserve">a second dose at </w:t>
      </w:r>
      <w:r w:rsidR="00CF342E">
        <w:rPr>
          <w:lang w:val="en"/>
        </w:rPr>
        <w:t>16-18 years of age</w:t>
      </w:r>
      <w:r w:rsidR="00CF342E" w:rsidRPr="00CF342E">
        <w:rPr>
          <w:lang w:val="en"/>
        </w:rPr>
        <w:t>. Th</w:t>
      </w:r>
      <w:r w:rsidR="00CF342E">
        <w:rPr>
          <w:lang w:val="en"/>
        </w:rPr>
        <w:t>is schedule</w:t>
      </w:r>
      <w:r w:rsidR="00CF342E" w:rsidRPr="00CF342E">
        <w:rPr>
          <w:lang w:val="en"/>
        </w:rPr>
        <w:t xml:space="preserve"> is expected to protect adolescents</w:t>
      </w:r>
      <w:r w:rsidR="00CF342E">
        <w:rPr>
          <w:lang w:val="en"/>
        </w:rPr>
        <w:t xml:space="preserve"> and </w:t>
      </w:r>
      <w:r w:rsidR="00CF342E" w:rsidRPr="00CF342E">
        <w:rPr>
          <w:lang w:val="en"/>
        </w:rPr>
        <w:t xml:space="preserve">young adults through the </w:t>
      </w:r>
      <w:r w:rsidR="00CF342E">
        <w:rPr>
          <w:lang w:val="en"/>
        </w:rPr>
        <w:t>highest</w:t>
      </w:r>
      <w:r w:rsidR="00CF342E" w:rsidRPr="00CF342E">
        <w:rPr>
          <w:lang w:val="en"/>
        </w:rPr>
        <w:t xml:space="preserve"> </w:t>
      </w:r>
      <w:r w:rsidR="00CF342E">
        <w:rPr>
          <w:lang w:val="en"/>
        </w:rPr>
        <w:t xml:space="preserve">age-based </w:t>
      </w:r>
      <w:r w:rsidR="00CF342E" w:rsidRPr="00CF342E">
        <w:rPr>
          <w:lang w:val="en"/>
        </w:rPr>
        <w:t>risk period</w:t>
      </w:r>
      <w:r w:rsidR="00CF342E">
        <w:rPr>
          <w:lang w:val="en"/>
        </w:rPr>
        <w:t xml:space="preserve"> for active disease</w:t>
      </w:r>
      <w:r w:rsidR="004E756A">
        <w:rPr>
          <w:lang w:val="en"/>
        </w:rPr>
        <w:t xml:space="preserve">. </w:t>
      </w:r>
      <w:r w:rsidR="009756E5">
        <w:rPr>
          <w:lang w:val="en"/>
        </w:rPr>
        <w:br/>
        <w:t>For those who have not been vaccinated previously,</w:t>
      </w:r>
      <w:r w:rsidR="00980247">
        <w:rPr>
          <w:lang w:val="en"/>
        </w:rPr>
        <w:t xml:space="preserve"> MCV-4 vaccine</w:t>
      </w:r>
      <w:r w:rsidR="009756E5">
        <w:rPr>
          <w:lang w:val="en"/>
        </w:rPr>
        <w:t xml:space="preserve"> </w:t>
      </w:r>
      <w:r w:rsidR="00E87569">
        <w:rPr>
          <w:lang w:val="en"/>
        </w:rPr>
        <w:t xml:space="preserve">is recommended for entering college students who will live in </w:t>
      </w:r>
      <w:r w:rsidR="009756E5">
        <w:rPr>
          <w:lang w:val="en"/>
        </w:rPr>
        <w:t>on-campus housing</w:t>
      </w:r>
      <w:r w:rsidR="00E87569">
        <w:rPr>
          <w:lang w:val="en"/>
        </w:rPr>
        <w:t xml:space="preserve">.  </w:t>
      </w:r>
      <w:r w:rsidR="00896851">
        <w:rPr>
          <w:lang w:val="en"/>
        </w:rPr>
        <w:t>The</w:t>
      </w:r>
      <w:r w:rsidR="00CF342E">
        <w:rPr>
          <w:lang w:val="en"/>
        </w:rPr>
        <w:t xml:space="preserve"> recommendatio</w:t>
      </w:r>
      <w:r w:rsidR="00896851">
        <w:rPr>
          <w:lang w:val="en"/>
        </w:rPr>
        <w:t>n</w:t>
      </w:r>
      <w:r w:rsidR="00E87569">
        <w:rPr>
          <w:lang w:val="en"/>
        </w:rPr>
        <w:t xml:space="preserve">, </w:t>
      </w:r>
      <w:r w:rsidR="00896851">
        <w:rPr>
          <w:lang w:val="en"/>
        </w:rPr>
        <w:t xml:space="preserve">based on </w:t>
      </w:r>
      <w:r w:rsidR="00CF342E">
        <w:rPr>
          <w:lang w:val="en"/>
        </w:rPr>
        <w:t>evidence for efficacy, safety and cost-effectiveness</w:t>
      </w:r>
      <w:r w:rsidR="00E87569">
        <w:rPr>
          <w:lang w:val="en"/>
        </w:rPr>
        <w:t xml:space="preserve"> </w:t>
      </w:r>
      <w:r w:rsidR="00896851">
        <w:rPr>
          <w:lang w:val="en"/>
        </w:rPr>
        <w:t xml:space="preserve">is available in MMWR Recommendations and Reports (3/22/2013): </w:t>
      </w:r>
      <w:hyperlink r:id="rId7" w:history="1">
        <w:r w:rsidR="00896851" w:rsidRPr="00CC34B4">
          <w:rPr>
            <w:rStyle w:val="Hyperlink"/>
            <w:lang w:val="en"/>
          </w:rPr>
          <w:t>www.cdc.gov/mmwr/preview/mmwrhtml/rr6202a1.htm</w:t>
        </w:r>
      </w:hyperlink>
      <w:r w:rsidR="00896851">
        <w:rPr>
          <w:lang w:val="en"/>
        </w:rPr>
        <w:t xml:space="preserve"> </w:t>
      </w:r>
      <w:r w:rsidR="00343CA5">
        <w:rPr>
          <w:lang w:val="en"/>
        </w:rPr>
        <w:t xml:space="preserve"> </w:t>
      </w:r>
    </w:p>
    <w:p w14:paraId="31797D84" w14:textId="6FC4F46B" w:rsidR="00577BF1" w:rsidRPr="00896851" w:rsidRDefault="00577BF1" w:rsidP="00577BF1">
      <w:pPr>
        <w:pStyle w:val="ListParagraph"/>
        <w:numPr>
          <w:ilvl w:val="0"/>
          <w:numId w:val="1"/>
        </w:numPr>
        <w:spacing w:after="120" w:line="240" w:lineRule="auto"/>
        <w:contextualSpacing w:val="0"/>
      </w:pPr>
      <w:r w:rsidRPr="000C3462">
        <w:t xml:space="preserve">Given the seriousness of </w:t>
      </w:r>
      <w:r w:rsidRPr="00D321E1">
        <w:rPr>
          <w:b/>
          <w:u w:val="single"/>
        </w:rPr>
        <w:t>meningococcal meningitis B</w:t>
      </w:r>
      <w:r>
        <w:t xml:space="preserve"> </w:t>
      </w:r>
      <w:r w:rsidRPr="000C3462">
        <w:t>disease</w:t>
      </w:r>
      <w:r w:rsidR="00D321E1">
        <w:t>,</w:t>
      </w:r>
      <w:r w:rsidRPr="000C3462">
        <w:t xml:space="preserve"> and the availability of licensed vaccines, ACIP </w:t>
      </w:r>
      <w:r w:rsidR="009A7A0A">
        <w:t>indicates</w:t>
      </w:r>
      <w:r w:rsidRPr="000C3462">
        <w:t xml:space="preserve"> that sufficient evidence exists to encourage </w:t>
      </w:r>
      <w:r w:rsidR="009A7A0A">
        <w:t xml:space="preserve">conversation and </w:t>
      </w:r>
      <w:r w:rsidRPr="000C3462">
        <w:t>individual clinical decision making</w:t>
      </w:r>
      <w:r w:rsidR="00C17227">
        <w:t xml:space="preserve"> regarding use of these vaccines for teenagers and young adults</w:t>
      </w:r>
      <w:r w:rsidRPr="000C3462">
        <w:t>.</w:t>
      </w:r>
      <w:r>
        <w:t xml:space="preserve">  ACIP references a</w:t>
      </w:r>
      <w:r w:rsidRPr="000C3462">
        <w:t xml:space="preserve">dditional information for health care providers and parents </w:t>
      </w:r>
      <w:r>
        <w:t xml:space="preserve">at the CDC </w:t>
      </w:r>
      <w:r w:rsidR="00980247">
        <w:t>w</w:t>
      </w:r>
      <w:r>
        <w:t xml:space="preserve">ebsite: </w:t>
      </w:r>
      <w:r w:rsidRPr="000C3462">
        <w:t> </w:t>
      </w:r>
      <w:hyperlink r:id="rId8" w:history="1">
        <w:r w:rsidRPr="000C3462">
          <w:rPr>
            <w:rStyle w:val="Hyperlink"/>
          </w:rPr>
          <w:t>http://www.cdc.gov/meningococcal</w:t>
        </w:r>
      </w:hyperlink>
      <w:r w:rsidRPr="000C3462">
        <w:t>.</w:t>
      </w:r>
    </w:p>
    <w:p w14:paraId="602655D0" w14:textId="769787A7" w:rsidR="00577BF1" w:rsidRDefault="00577BF1" w:rsidP="00577BF1">
      <w:pPr>
        <w:pStyle w:val="ListParagraph"/>
        <w:numPr>
          <w:ilvl w:val="0"/>
          <w:numId w:val="1"/>
        </w:numPr>
        <w:spacing w:after="120" w:line="240" w:lineRule="auto"/>
      </w:pPr>
      <w:r>
        <w:t xml:space="preserve"> </w:t>
      </w:r>
      <w:r w:rsidR="001669A0">
        <w:t xml:space="preserve">The </w:t>
      </w:r>
      <w:r w:rsidR="00E42855">
        <w:t>CDC-</w:t>
      </w:r>
      <w:r w:rsidR="00FF34BA">
        <w:t xml:space="preserve">ACIP </w:t>
      </w:r>
      <w:r w:rsidR="00C17227">
        <w:t>states</w:t>
      </w:r>
      <w:r w:rsidR="00FF34BA">
        <w:t xml:space="preserve"> </w:t>
      </w:r>
      <w:r w:rsidR="001669A0">
        <w:t>th</w:t>
      </w:r>
      <w:r>
        <w:t>at the</w:t>
      </w:r>
      <w:r w:rsidR="001669A0">
        <w:t xml:space="preserve"> patient/parents and health care provider may choose</w:t>
      </w:r>
      <w:r w:rsidR="00C17227">
        <w:t xml:space="preserve">, using clinical discretion, </w:t>
      </w:r>
      <w:r w:rsidR="001669A0">
        <w:t xml:space="preserve">to complete </w:t>
      </w:r>
      <w:r w:rsidR="00FF34BA">
        <w:t>a</w:t>
      </w:r>
      <w:r w:rsidR="00FF34BA" w:rsidRPr="00FF34BA">
        <w:t xml:space="preserve"> Men</w:t>
      </w:r>
      <w:r w:rsidR="00FF34BA">
        <w:t>-</w:t>
      </w:r>
      <w:r w:rsidR="00FF34BA" w:rsidRPr="00FF34BA">
        <w:t xml:space="preserve">B vaccine series </w:t>
      </w:r>
      <w:r w:rsidR="001669A0">
        <w:t>for</w:t>
      </w:r>
      <w:r w:rsidR="00FF34BA" w:rsidRPr="00FF34BA">
        <w:t xml:space="preserve"> adolescents and young adults aged 16–23 years to provide short-term protection against most strains of ser</w:t>
      </w:r>
      <w:r w:rsidR="009A7A0A">
        <w:t>ogroup B meningococcal disease.</w:t>
      </w:r>
      <w:r w:rsidR="00FF34BA">
        <w:t xml:space="preserve"> </w:t>
      </w:r>
      <w:r w:rsidR="000C3462" w:rsidRPr="000C3462">
        <w:t>The preferred age for Men</w:t>
      </w:r>
      <w:r w:rsidR="001669A0">
        <w:t>-</w:t>
      </w:r>
      <w:r w:rsidR="000C3462" w:rsidRPr="000C3462">
        <w:t>B vaccination is 16–18 years</w:t>
      </w:r>
      <w:r w:rsidR="000C3462">
        <w:t xml:space="preserve">.  </w:t>
      </w:r>
      <w:r w:rsidR="001669A0">
        <w:t>Dosing is based on which of two available vaccines is used. Recommended Immunization Schedule</w:t>
      </w:r>
      <w:r>
        <w:t>s</w:t>
      </w:r>
      <w:r w:rsidR="001669A0">
        <w:t xml:space="preserve"> for </w:t>
      </w:r>
      <w:r>
        <w:t xml:space="preserve">Children/Teens and for </w:t>
      </w:r>
      <w:r w:rsidR="001669A0">
        <w:t xml:space="preserve">Adults </w:t>
      </w:r>
      <w:r>
        <w:t xml:space="preserve">– 2017:  </w:t>
      </w:r>
      <w:hyperlink r:id="rId9" w:history="1">
        <w:r w:rsidRPr="00644B32">
          <w:rPr>
            <w:rStyle w:val="Hyperlink"/>
          </w:rPr>
          <w:t>www.cdc.gov/vaccines/schedules/easy-to-read/index.html</w:t>
        </w:r>
      </w:hyperlink>
      <w:r>
        <w:t xml:space="preserve"> </w:t>
      </w:r>
      <w:r w:rsidR="00C17227">
        <w:t xml:space="preserve"> </w:t>
      </w:r>
    </w:p>
    <w:p w14:paraId="7551098C" w14:textId="77777777" w:rsidR="00C17227" w:rsidRDefault="00C17227" w:rsidP="00C17227">
      <w:pPr>
        <w:pStyle w:val="ListParagraph"/>
        <w:spacing w:after="120" w:line="240" w:lineRule="auto"/>
        <w:ind w:left="360"/>
      </w:pPr>
    </w:p>
    <w:p w14:paraId="6F71733C" w14:textId="12393C77" w:rsidR="00C17227" w:rsidRDefault="00C17227" w:rsidP="00577BF1">
      <w:pPr>
        <w:pStyle w:val="ListParagraph"/>
        <w:numPr>
          <w:ilvl w:val="0"/>
          <w:numId w:val="1"/>
        </w:numPr>
        <w:spacing w:after="120" w:line="240" w:lineRule="auto"/>
      </w:pPr>
      <w:r>
        <w:t xml:space="preserve">Nebraska Law (LB513, 2003) requires that each postsecondary education institution shall provide each newly enrolled student who will reside in on-campus housing (and their parents or guardian), detailed information about meningococcal meningitis disease, and about vaccination available against the disease.  A copy of this law is provided in this mailing.   Since the type of meningococcal vaccine is not specified, it is the </w:t>
      </w:r>
      <w:r w:rsidR="00AB20A8">
        <w:t>stance</w:t>
      </w:r>
      <w:r>
        <w:t xml:space="preserve"> of the Immunization Task Force</w:t>
      </w:r>
      <w:r w:rsidR="00AB20A8">
        <w:t xml:space="preserve"> (ITF)</w:t>
      </w:r>
      <w:r>
        <w:t xml:space="preserve">, that </w:t>
      </w:r>
      <w:r w:rsidR="00AB20A8">
        <w:t>t</w:t>
      </w:r>
      <w:r>
        <w:t xml:space="preserve">his law </w:t>
      </w:r>
      <w:r w:rsidR="00AB20A8">
        <w:t>applies</w:t>
      </w:r>
      <w:r>
        <w:t xml:space="preserve"> to all meningococcal meningitis disease for which there are vaccines available.  </w:t>
      </w:r>
      <w:r w:rsidRPr="00C17227">
        <w:rPr>
          <w:b/>
        </w:rPr>
        <w:t>This currently includes both MCV-4 and Men-B vaccines.</w:t>
      </w:r>
    </w:p>
    <w:p w14:paraId="48252DB3" w14:textId="77777777" w:rsidR="00577BF1" w:rsidRDefault="00577BF1" w:rsidP="00577BF1">
      <w:pPr>
        <w:pStyle w:val="ListParagraph"/>
        <w:spacing w:after="120" w:line="240" w:lineRule="auto"/>
        <w:ind w:left="360"/>
      </w:pPr>
    </w:p>
    <w:p w14:paraId="09185005" w14:textId="046354F6" w:rsidR="00E42855" w:rsidRPr="007E22E2" w:rsidRDefault="007E22E2" w:rsidP="00E42855">
      <w:pPr>
        <w:spacing w:after="0" w:line="240" w:lineRule="auto"/>
        <w:rPr>
          <w:b/>
          <w:sz w:val="24"/>
        </w:rPr>
      </w:pPr>
      <w:r w:rsidRPr="007E22E2">
        <w:rPr>
          <w:b/>
          <w:sz w:val="24"/>
        </w:rPr>
        <w:t xml:space="preserve">More information on Meningococcal Vaccines at: </w:t>
      </w:r>
      <w:hyperlink r:id="rId10" w:history="1">
        <w:r w:rsidRPr="007E22E2">
          <w:rPr>
            <w:rStyle w:val="Hyperlink"/>
            <w:b/>
            <w:sz w:val="24"/>
          </w:rPr>
          <w:t>www.cdc.gov/va</w:t>
        </w:r>
        <w:r w:rsidRPr="007E22E2">
          <w:rPr>
            <w:rStyle w:val="Hyperlink"/>
            <w:b/>
            <w:sz w:val="24"/>
          </w:rPr>
          <w:t>c</w:t>
        </w:r>
        <w:r w:rsidRPr="007E22E2">
          <w:rPr>
            <w:rStyle w:val="Hyperlink"/>
            <w:b/>
            <w:sz w:val="24"/>
          </w:rPr>
          <w:t>cines/vpd/mening/hcp/faqs-adolescent-vaccine.html</w:t>
        </w:r>
      </w:hyperlink>
    </w:p>
    <w:p w14:paraId="71BF094D" w14:textId="28F5AC38" w:rsidR="007E22E2" w:rsidRDefault="007E22E2" w:rsidP="00E42855">
      <w:pPr>
        <w:spacing w:after="0" w:line="240" w:lineRule="auto"/>
      </w:pPr>
    </w:p>
    <w:p w14:paraId="4925ABE0" w14:textId="77777777" w:rsidR="007E22E2" w:rsidRPr="007E22E2" w:rsidRDefault="007E22E2" w:rsidP="007E22E2">
      <w:pPr>
        <w:spacing w:after="0" w:line="240" w:lineRule="auto"/>
      </w:pPr>
      <w:r w:rsidRPr="007E22E2">
        <w:rPr>
          <w:b/>
        </w:rPr>
        <w:t>Quadrivalent Meningococcal Conjugate A/C/W/Y vaccines (MCV-4)</w:t>
      </w:r>
      <w:r w:rsidRPr="007E22E2">
        <w:rPr>
          <w:b/>
        </w:rPr>
        <w:br/>
      </w:r>
      <w:r w:rsidRPr="007E22E2">
        <w:t xml:space="preserve">* Menactra®  </w:t>
      </w:r>
    </w:p>
    <w:p w14:paraId="453F972D" w14:textId="77777777" w:rsidR="007E22E2" w:rsidRPr="007E22E2" w:rsidRDefault="007E22E2" w:rsidP="007E22E2">
      <w:pPr>
        <w:spacing w:after="0" w:line="240" w:lineRule="auto"/>
      </w:pPr>
      <w:r w:rsidRPr="007E22E2">
        <w:t>* Menveo®</w:t>
      </w:r>
    </w:p>
    <w:p w14:paraId="33977B48" w14:textId="77777777" w:rsidR="007E22E2" w:rsidRPr="007E22E2" w:rsidRDefault="007E22E2" w:rsidP="007E22E2">
      <w:pPr>
        <w:spacing w:after="0" w:line="240" w:lineRule="auto"/>
      </w:pPr>
      <w:r w:rsidRPr="007E22E2">
        <w:rPr>
          <w:b/>
        </w:rPr>
        <w:t>Serogroup B Meningococcal vaccines (Men-B)</w:t>
      </w:r>
      <w:r w:rsidRPr="007E22E2">
        <w:rPr>
          <w:b/>
        </w:rPr>
        <w:br/>
      </w:r>
      <w:r w:rsidRPr="007E22E2">
        <w:t>* Bexsero®</w:t>
      </w:r>
      <w:bookmarkStart w:id="0" w:name="_GoBack"/>
      <w:bookmarkEnd w:id="0"/>
    </w:p>
    <w:p w14:paraId="55613C24" w14:textId="77777777" w:rsidR="007E22E2" w:rsidRPr="007E22E2" w:rsidRDefault="007E22E2" w:rsidP="007E22E2">
      <w:pPr>
        <w:spacing w:after="0" w:line="240" w:lineRule="auto"/>
      </w:pPr>
      <w:r w:rsidRPr="007E22E2">
        <w:t>* Trumenba®</w:t>
      </w:r>
    </w:p>
    <w:p w14:paraId="73DCA161" w14:textId="138354EE" w:rsidR="007E22E2" w:rsidRDefault="007E22E2" w:rsidP="00E42855">
      <w:pPr>
        <w:spacing w:after="0" w:line="240" w:lineRule="auto"/>
      </w:pPr>
    </w:p>
    <w:p w14:paraId="7662807D" w14:textId="77777777" w:rsidR="007E22E2" w:rsidRPr="007E22E2" w:rsidRDefault="007E22E2" w:rsidP="007E22E2">
      <w:pPr>
        <w:numPr>
          <w:ilvl w:val="0"/>
          <w:numId w:val="5"/>
        </w:numPr>
        <w:spacing w:after="0" w:line="240" w:lineRule="auto"/>
      </w:pPr>
      <w:r w:rsidRPr="007E22E2">
        <w:rPr>
          <w:b/>
          <w:i/>
        </w:rPr>
        <w:t>Proprietary names are provided as examples only, with no recommendation intended for specific resources or products.</w:t>
      </w:r>
    </w:p>
    <w:p w14:paraId="305DDD71" w14:textId="77777777" w:rsidR="007E22E2" w:rsidRPr="000C25CF" w:rsidRDefault="007E22E2" w:rsidP="00E42855">
      <w:pPr>
        <w:spacing w:after="0" w:line="240" w:lineRule="auto"/>
      </w:pPr>
    </w:p>
    <w:sectPr w:rsidR="007E22E2" w:rsidRPr="000C25CF" w:rsidSect="009F430F">
      <w:headerReference w:type="default" r:id="rId11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1DF1B0" w14:textId="77777777" w:rsidR="009F430F" w:rsidRDefault="009F430F" w:rsidP="009F430F">
      <w:pPr>
        <w:spacing w:after="0" w:line="240" w:lineRule="auto"/>
      </w:pPr>
      <w:r>
        <w:separator/>
      </w:r>
    </w:p>
  </w:endnote>
  <w:endnote w:type="continuationSeparator" w:id="0">
    <w:p w14:paraId="42254D74" w14:textId="77777777" w:rsidR="009F430F" w:rsidRDefault="009F430F" w:rsidP="009F4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9575A8" w14:textId="77777777" w:rsidR="009F430F" w:rsidRDefault="009F430F" w:rsidP="009F430F">
      <w:pPr>
        <w:spacing w:after="0" w:line="240" w:lineRule="auto"/>
      </w:pPr>
      <w:r>
        <w:separator/>
      </w:r>
    </w:p>
  </w:footnote>
  <w:footnote w:type="continuationSeparator" w:id="0">
    <w:p w14:paraId="76C14EFB" w14:textId="77777777" w:rsidR="009F430F" w:rsidRDefault="009F430F" w:rsidP="009F43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627836" w14:textId="49372D0B" w:rsidR="00DC5A6B" w:rsidRPr="00980247" w:rsidRDefault="00DC5A6B">
    <w:pPr>
      <w:pStyle w:val="Header"/>
      <w:rPr>
        <w:b/>
        <w:sz w:val="28"/>
      </w:rPr>
    </w:pPr>
    <w:r w:rsidRPr="00980247">
      <w:rPr>
        <w:b/>
        <w:sz w:val="28"/>
      </w:rPr>
      <w:t xml:space="preserve">Fact Sheet: </w:t>
    </w:r>
    <w:r w:rsidR="00980247" w:rsidRPr="00980247">
      <w:rPr>
        <w:b/>
        <w:sz w:val="28"/>
      </w:rPr>
      <w:t>Meningococcal Meningitis Vaccines</w:t>
    </w:r>
    <w:r w:rsidRPr="00980247">
      <w:rPr>
        <w:b/>
        <w:sz w:val="28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A95B877"/>
    <w:multiLevelType w:val="hybridMultilevel"/>
    <w:tmpl w:val="9BA8C20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FD27F39"/>
    <w:multiLevelType w:val="hybridMultilevel"/>
    <w:tmpl w:val="E2EC0ED8"/>
    <w:lvl w:ilvl="0" w:tplc="B1963C8E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F05491"/>
    <w:multiLevelType w:val="hybridMultilevel"/>
    <w:tmpl w:val="BAF03214"/>
    <w:lvl w:ilvl="0" w:tplc="B1963C8E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1F3FA7"/>
    <w:multiLevelType w:val="hybridMultilevel"/>
    <w:tmpl w:val="A7AC104E"/>
    <w:lvl w:ilvl="0" w:tplc="02BE961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F765F4"/>
    <w:multiLevelType w:val="hybridMultilevel"/>
    <w:tmpl w:val="11706210"/>
    <w:lvl w:ilvl="0" w:tplc="B1963C8E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30F"/>
    <w:rsid w:val="00087937"/>
    <w:rsid w:val="000C25CF"/>
    <w:rsid w:val="000C3462"/>
    <w:rsid w:val="00100248"/>
    <w:rsid w:val="00103B25"/>
    <w:rsid w:val="001114EF"/>
    <w:rsid w:val="00134B72"/>
    <w:rsid w:val="001442D4"/>
    <w:rsid w:val="001443C1"/>
    <w:rsid w:val="001669A0"/>
    <w:rsid w:val="00173892"/>
    <w:rsid w:val="00187A4C"/>
    <w:rsid w:val="001A68E5"/>
    <w:rsid w:val="001E1A2C"/>
    <w:rsid w:val="002973DE"/>
    <w:rsid w:val="0031529E"/>
    <w:rsid w:val="00343CA5"/>
    <w:rsid w:val="00450B9D"/>
    <w:rsid w:val="004D1E3E"/>
    <w:rsid w:val="004E22E5"/>
    <w:rsid w:val="004E6593"/>
    <w:rsid w:val="004E756A"/>
    <w:rsid w:val="00524CC7"/>
    <w:rsid w:val="00550D76"/>
    <w:rsid w:val="00577BF1"/>
    <w:rsid w:val="005C2EF7"/>
    <w:rsid w:val="006429CE"/>
    <w:rsid w:val="00671597"/>
    <w:rsid w:val="007E22E2"/>
    <w:rsid w:val="007F0F3D"/>
    <w:rsid w:val="0085155A"/>
    <w:rsid w:val="0087324E"/>
    <w:rsid w:val="0088520B"/>
    <w:rsid w:val="00893B88"/>
    <w:rsid w:val="00896851"/>
    <w:rsid w:val="008A350F"/>
    <w:rsid w:val="008D2F30"/>
    <w:rsid w:val="009756E5"/>
    <w:rsid w:val="00980247"/>
    <w:rsid w:val="009A7A0A"/>
    <w:rsid w:val="009B6132"/>
    <w:rsid w:val="009F430F"/>
    <w:rsid w:val="00AA6245"/>
    <w:rsid w:val="00AB20A8"/>
    <w:rsid w:val="00AF2B8B"/>
    <w:rsid w:val="00B07DCA"/>
    <w:rsid w:val="00B55D95"/>
    <w:rsid w:val="00BC6F76"/>
    <w:rsid w:val="00C17227"/>
    <w:rsid w:val="00C85F50"/>
    <w:rsid w:val="00CE4823"/>
    <w:rsid w:val="00CF342E"/>
    <w:rsid w:val="00D321E1"/>
    <w:rsid w:val="00D46533"/>
    <w:rsid w:val="00D52652"/>
    <w:rsid w:val="00DC5A6B"/>
    <w:rsid w:val="00E42855"/>
    <w:rsid w:val="00E87569"/>
    <w:rsid w:val="00F23095"/>
    <w:rsid w:val="00FD69F6"/>
    <w:rsid w:val="00FE3E86"/>
    <w:rsid w:val="00FF3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37E2C2E"/>
  <w15:chartTrackingRefBased/>
  <w15:docId w15:val="{B96CA8F2-6106-419A-838B-FE2E1EE0D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43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430F"/>
  </w:style>
  <w:style w:type="paragraph" w:styleId="Footer">
    <w:name w:val="footer"/>
    <w:basedOn w:val="Normal"/>
    <w:link w:val="FooterChar"/>
    <w:uiPriority w:val="99"/>
    <w:unhideWhenUsed/>
    <w:rsid w:val="009F43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430F"/>
  </w:style>
  <w:style w:type="paragraph" w:styleId="ListParagraph">
    <w:name w:val="List Paragraph"/>
    <w:basedOn w:val="Normal"/>
    <w:uiPriority w:val="34"/>
    <w:qFormat/>
    <w:rsid w:val="00FE3E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3B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B8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9685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4285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dc.gov/meningococca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dc.gov/mmwr/preview/mmwrhtml/rr6202a1.ht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cdc.gov/vaccines/vpd/mening/hcp/faqs-adolescent-vaccine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dc.gov/vaccines/schedules/easy-to-read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Creighton University - SPAHP</Company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Ohri, Linda K.</dc:creator>
  <cp:keywords/>
  <dc:description/>
  <cp:lastModifiedBy>Ohri, Linda K</cp:lastModifiedBy>
  <cp:revision>10</cp:revision>
  <cp:lastPrinted>2015-07-25T21:44:00Z</cp:lastPrinted>
  <dcterms:created xsi:type="dcterms:W3CDTF">2017-03-16T18:09:00Z</dcterms:created>
  <dcterms:modified xsi:type="dcterms:W3CDTF">2017-03-31T21:10:00Z</dcterms:modified>
</cp:coreProperties>
</file>